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E418C4">
      <w:pPr>
        <w:pStyle w:val="38"/>
        <w:spacing w:line="520" w:lineRule="exact"/>
        <w:jc w:val="center"/>
        <w:rPr>
          <w:b/>
          <w:bCs/>
          <w:sz w:val="48"/>
          <w:szCs w:val="48"/>
        </w:rPr>
      </w:pPr>
    </w:p>
    <w:p w14:paraId="4E96E0B5">
      <w:pPr>
        <w:autoSpaceDE w:val="0"/>
        <w:autoSpaceDN w:val="0"/>
        <w:adjustRightInd w:val="0"/>
        <w:spacing w:line="360" w:lineRule="exact"/>
        <w:jc w:val="center"/>
        <w:rPr>
          <w:rFonts w:hint="eastAsia" w:ascii="宋体" w:hAnsi="宋体" w:cs="宋体"/>
          <w:b/>
          <w:color w:val="000000"/>
          <w:sz w:val="44"/>
          <w:szCs w:val="44"/>
        </w:rPr>
      </w:pPr>
      <w:r>
        <w:rPr>
          <w:rFonts w:hint="eastAsia" w:ascii="宋体" w:hAnsi="宋体" w:cs="宋体"/>
          <w:b/>
          <w:color w:val="000000"/>
          <w:sz w:val="44"/>
          <w:szCs w:val="44"/>
        </w:rPr>
        <w:t xml:space="preserve"> </w:t>
      </w:r>
    </w:p>
    <w:p w14:paraId="0D3760DD">
      <w:pPr>
        <w:spacing w:before="240"/>
        <w:jc w:val="center"/>
        <w:rPr>
          <w:rStyle w:val="68"/>
          <w:rFonts w:hint="eastAsia" w:ascii="宋体" w:hAnsi="宋体" w:cs="宋体"/>
          <w:b/>
          <w:bCs/>
          <w:sz w:val="44"/>
          <w:szCs w:val="44"/>
          <w:lang w:val="zh-CN"/>
        </w:rPr>
      </w:pPr>
    </w:p>
    <w:p w14:paraId="208BC159">
      <w:pPr>
        <w:jc w:val="center"/>
        <w:rPr>
          <w:rStyle w:val="68"/>
          <w:rFonts w:hint="eastAsia" w:ascii="宋体" w:hAnsi="宋体" w:cs="宋体"/>
          <w:b/>
          <w:bCs/>
          <w:sz w:val="32"/>
          <w:szCs w:val="32"/>
        </w:rPr>
      </w:pPr>
    </w:p>
    <w:p w14:paraId="2C853C9D">
      <w:pPr>
        <w:spacing w:line="360" w:lineRule="auto"/>
        <w:jc w:val="center"/>
        <w:rPr>
          <w:rStyle w:val="68"/>
          <w:b/>
          <w:bCs/>
        </w:rPr>
      </w:pPr>
      <w:r>
        <w:rPr>
          <w:rStyle w:val="68"/>
          <w:b/>
          <w:bCs/>
        </w:rPr>
        <w:drawing>
          <wp:inline distT="0" distB="0" distL="114300" distR="114300">
            <wp:extent cx="1871980" cy="1802765"/>
            <wp:effectExtent l="0" t="0" r="13970"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22"/>
                    <a:stretch>
                      <a:fillRect/>
                    </a:stretch>
                  </pic:blipFill>
                  <pic:spPr>
                    <a:xfrm>
                      <a:off x="0" y="0"/>
                      <a:ext cx="1871980" cy="1802765"/>
                    </a:xfrm>
                    <a:prstGeom prst="rect">
                      <a:avLst/>
                    </a:prstGeom>
                    <a:noFill/>
                    <a:ln>
                      <a:noFill/>
                    </a:ln>
                  </pic:spPr>
                </pic:pic>
              </a:graphicData>
            </a:graphic>
          </wp:inline>
        </w:drawing>
      </w:r>
    </w:p>
    <w:p w14:paraId="0E731F3E">
      <w:pPr>
        <w:jc w:val="center"/>
        <w:rPr>
          <w:rStyle w:val="68"/>
          <w:b/>
          <w:bCs/>
        </w:rPr>
      </w:pPr>
    </w:p>
    <w:p w14:paraId="71823695">
      <w:pPr>
        <w:spacing w:before="240"/>
        <w:jc w:val="center"/>
        <w:rPr>
          <w:rStyle w:val="68"/>
          <w:rFonts w:hint="eastAsia" w:ascii="宋体" w:hAnsi="宋体" w:cs="宋体"/>
          <w:b/>
          <w:bCs/>
          <w:sz w:val="84"/>
          <w:szCs w:val="84"/>
        </w:rPr>
      </w:pPr>
      <w:r>
        <w:rPr>
          <w:rStyle w:val="68"/>
          <w:rFonts w:hint="eastAsia" w:ascii="宋体" w:hAnsi="宋体" w:cs="宋体"/>
          <w:b/>
          <w:bCs/>
          <w:sz w:val="84"/>
          <w:szCs w:val="84"/>
        </w:rPr>
        <w:t>招标</w:t>
      </w:r>
      <w:r>
        <w:rPr>
          <w:rStyle w:val="68"/>
          <w:rFonts w:ascii="宋体" w:hAnsi="宋体" w:cs="宋体"/>
          <w:b/>
          <w:bCs/>
          <w:sz w:val="84"/>
          <w:szCs w:val="84"/>
        </w:rPr>
        <w:t>文件</w:t>
      </w:r>
    </w:p>
    <w:p w14:paraId="2B74E0A6">
      <w:pPr>
        <w:jc w:val="center"/>
        <w:rPr>
          <w:rStyle w:val="68"/>
          <w:rFonts w:hint="eastAsia" w:ascii="宋体" w:hAnsi="宋体" w:cs="宋体"/>
          <w:b/>
          <w:bCs/>
          <w:sz w:val="32"/>
          <w:szCs w:val="32"/>
        </w:rPr>
      </w:pPr>
    </w:p>
    <w:p w14:paraId="3DDB1726">
      <w:pPr>
        <w:jc w:val="center"/>
        <w:rPr>
          <w:rStyle w:val="68"/>
          <w:b/>
          <w:bCs/>
        </w:rPr>
      </w:pPr>
    </w:p>
    <w:p w14:paraId="1913D44A">
      <w:pPr>
        <w:jc w:val="center"/>
        <w:rPr>
          <w:rStyle w:val="68"/>
          <w:b/>
          <w:bCs/>
        </w:rPr>
      </w:pPr>
    </w:p>
    <w:p w14:paraId="28C3D94D">
      <w:pPr>
        <w:jc w:val="center"/>
        <w:rPr>
          <w:rStyle w:val="68"/>
          <w:b/>
          <w:bCs/>
        </w:rPr>
      </w:pPr>
    </w:p>
    <w:p w14:paraId="7C741E35">
      <w:pPr>
        <w:jc w:val="center"/>
        <w:rPr>
          <w:rStyle w:val="68"/>
          <w:b/>
          <w:bCs/>
        </w:rPr>
      </w:pPr>
    </w:p>
    <w:p w14:paraId="0DB7E326">
      <w:pPr>
        <w:rPr>
          <w:rStyle w:val="68"/>
          <w:b/>
          <w:bCs/>
        </w:rPr>
      </w:pPr>
    </w:p>
    <w:p w14:paraId="6291E113">
      <w:pPr>
        <w:rPr>
          <w:rStyle w:val="68"/>
          <w:b/>
          <w:bCs/>
        </w:rPr>
      </w:pPr>
    </w:p>
    <w:p w14:paraId="11747F8E">
      <w:pPr>
        <w:rPr>
          <w:rStyle w:val="68"/>
          <w:b/>
          <w:bCs/>
        </w:rPr>
      </w:pPr>
    </w:p>
    <w:p w14:paraId="3D4E2268">
      <w:pPr>
        <w:rPr>
          <w:rStyle w:val="68"/>
          <w:b/>
          <w:bCs/>
        </w:rPr>
      </w:pPr>
    </w:p>
    <w:p w14:paraId="798AD5FB">
      <w:pPr>
        <w:rPr>
          <w:rStyle w:val="68"/>
          <w:b/>
          <w:bCs/>
        </w:rPr>
      </w:pPr>
    </w:p>
    <w:p w14:paraId="5E3FF518">
      <w:pPr>
        <w:rPr>
          <w:rStyle w:val="68"/>
          <w:b/>
          <w:bCs/>
        </w:rPr>
      </w:pPr>
    </w:p>
    <w:p w14:paraId="56AA7DBF">
      <w:pPr>
        <w:rPr>
          <w:rStyle w:val="68"/>
          <w:b/>
          <w:bCs/>
        </w:rPr>
      </w:pPr>
    </w:p>
    <w:p w14:paraId="65A6F508">
      <w:pPr>
        <w:jc w:val="center"/>
        <w:rPr>
          <w:rStyle w:val="68"/>
          <w:b/>
          <w:bCs/>
        </w:rPr>
      </w:pPr>
    </w:p>
    <w:p w14:paraId="51131C48">
      <w:pPr>
        <w:ind w:firstLine="643" w:firstLineChars="200"/>
        <w:rPr>
          <w:rStyle w:val="68"/>
          <w:rFonts w:hint="eastAsia" w:ascii="宋体" w:hAnsi="宋体" w:cs="宋体"/>
          <w:b/>
          <w:bCs/>
          <w:sz w:val="32"/>
          <w:szCs w:val="32"/>
        </w:rPr>
      </w:pPr>
      <w:r>
        <w:rPr>
          <w:rStyle w:val="68"/>
          <w:rFonts w:hint="eastAsia" w:ascii="宋体" w:hAnsi="宋体" w:cs="宋体"/>
          <w:b/>
          <w:bCs/>
          <w:sz w:val="32"/>
          <w:szCs w:val="32"/>
        </w:rPr>
        <w:t xml:space="preserve">项目名称：新能源汽车综合应用实训室建设项目 </w:t>
      </w:r>
    </w:p>
    <w:p w14:paraId="6530D0F8">
      <w:pPr>
        <w:ind w:left="2234" w:leftChars="1064"/>
        <w:rPr>
          <w:rStyle w:val="68"/>
          <w:rFonts w:hint="eastAsia" w:ascii="宋体" w:hAnsi="宋体" w:cs="宋体"/>
          <w:b/>
          <w:bCs/>
          <w:sz w:val="30"/>
          <w:szCs w:val="30"/>
        </w:rPr>
      </w:pPr>
    </w:p>
    <w:p w14:paraId="1CCD99A1">
      <w:pPr>
        <w:ind w:firstLine="602" w:firstLineChars="200"/>
        <w:rPr>
          <w:rStyle w:val="68"/>
          <w:rFonts w:hint="eastAsia" w:ascii="宋体" w:hAnsi="宋体" w:cs="宋体"/>
          <w:b/>
          <w:bCs/>
          <w:sz w:val="30"/>
          <w:szCs w:val="30"/>
        </w:rPr>
      </w:pPr>
      <w:r>
        <w:rPr>
          <w:rStyle w:val="68"/>
          <w:rFonts w:hint="eastAsia" w:ascii="宋体" w:hAnsi="宋体" w:cs="宋体"/>
          <w:b/>
          <w:bCs/>
          <w:sz w:val="30"/>
          <w:szCs w:val="30"/>
        </w:rPr>
        <w:t>项目编号：</w:t>
      </w:r>
      <w:r>
        <w:fldChar w:fldCharType="begin"/>
      </w:r>
      <w:r>
        <w:instrText xml:space="preserve"> HYPERLINK "https://www.zcygov.cn/gaea/api/project/flow/redirect?projectId=7295595741402890312&amp;newUrl=https://www.zcygov.cn/micro-app-back-index/blank?_flow_type_=agency&amp;_flow_projectId_=7295595741402890312&amp;_jump_page_type_=project_procurement_management_flow&amp;_app_=zcy.procurement&amp;oldUrl=https://www.zcygov.cn/project-center/_procurement_/project-result-detail/7295595741402890312" \t "https://www.zcygov.cn/project-center/_procurement_/self-project/_blank" </w:instrText>
      </w:r>
      <w:r>
        <w:fldChar w:fldCharType="separate"/>
      </w:r>
      <w:r>
        <w:rPr>
          <w:rStyle w:val="68"/>
          <w:rFonts w:hint="eastAsia" w:ascii="宋体" w:hAnsi="宋体" w:cs="宋体"/>
          <w:b/>
          <w:bCs/>
          <w:sz w:val="30"/>
          <w:szCs w:val="30"/>
        </w:rPr>
        <w:t>采购计划-[2025]-01808号-1</w:t>
      </w:r>
      <w:r>
        <w:rPr>
          <w:rStyle w:val="68"/>
          <w:rFonts w:hint="eastAsia" w:ascii="宋体" w:hAnsi="宋体" w:cs="宋体"/>
          <w:b/>
          <w:bCs/>
          <w:sz w:val="30"/>
          <w:szCs w:val="30"/>
        </w:rPr>
        <w:fldChar w:fldCharType="end"/>
      </w:r>
    </w:p>
    <w:p w14:paraId="168B7FAC">
      <w:pPr>
        <w:ind w:firstLine="1928" w:firstLineChars="600"/>
        <w:rPr>
          <w:rStyle w:val="68"/>
          <w:rFonts w:hint="eastAsia" w:ascii="宋体" w:hAnsi="宋体" w:cs="宋体"/>
          <w:b/>
          <w:bCs/>
          <w:sz w:val="32"/>
          <w:szCs w:val="32"/>
        </w:rPr>
      </w:pPr>
    </w:p>
    <w:p w14:paraId="00AD9639">
      <w:pPr>
        <w:ind w:firstLine="643" w:firstLineChars="200"/>
        <w:rPr>
          <w:rStyle w:val="68"/>
          <w:rFonts w:hint="eastAsia" w:ascii="宋体" w:hAnsi="宋体" w:cs="宋体"/>
          <w:b/>
          <w:bCs/>
          <w:sz w:val="32"/>
          <w:szCs w:val="32"/>
        </w:rPr>
      </w:pPr>
      <w:r>
        <w:rPr>
          <w:rStyle w:val="68"/>
          <w:rFonts w:hint="eastAsia" w:ascii="宋体" w:hAnsi="宋体" w:cs="宋体"/>
          <w:b/>
          <w:bCs/>
          <w:sz w:val="32"/>
          <w:szCs w:val="32"/>
        </w:rPr>
        <w:t>采   购   人：吉林工程职业学院</w:t>
      </w:r>
    </w:p>
    <w:p w14:paraId="1E68A6AE">
      <w:pPr>
        <w:jc w:val="center"/>
        <w:rPr>
          <w:rStyle w:val="68"/>
          <w:rFonts w:hint="eastAsia" w:ascii="宋体" w:hAnsi="宋体" w:cs="宋体"/>
          <w:b/>
          <w:bCs/>
          <w:sz w:val="32"/>
          <w:szCs w:val="32"/>
        </w:rPr>
      </w:pPr>
    </w:p>
    <w:p w14:paraId="2FCF2DDD">
      <w:pPr>
        <w:ind w:firstLine="643" w:firstLineChars="200"/>
        <w:rPr>
          <w:rStyle w:val="68"/>
          <w:rFonts w:hint="eastAsia" w:ascii="宋体" w:hAnsi="宋体" w:cs="宋体"/>
          <w:b/>
          <w:bCs/>
          <w:sz w:val="32"/>
          <w:szCs w:val="32"/>
        </w:rPr>
      </w:pPr>
      <w:r>
        <w:rPr>
          <w:rStyle w:val="68"/>
          <w:rFonts w:hint="eastAsia" w:ascii="宋体" w:hAnsi="宋体" w:cs="宋体"/>
          <w:b/>
          <w:bCs/>
          <w:sz w:val="32"/>
          <w:szCs w:val="32"/>
        </w:rPr>
        <w:t>采购代理机构：鼎正众创建设集团有限公司</w:t>
      </w:r>
    </w:p>
    <w:p w14:paraId="3A1F55A8">
      <w:pPr>
        <w:jc w:val="center"/>
        <w:rPr>
          <w:rStyle w:val="68"/>
          <w:b/>
          <w:bCs/>
          <w:sz w:val="32"/>
          <w:szCs w:val="32"/>
        </w:rPr>
      </w:pPr>
    </w:p>
    <w:p w14:paraId="5F25F279">
      <w:pPr>
        <w:jc w:val="center"/>
        <w:rPr>
          <w:rFonts w:hint="eastAsia" w:ascii="宋体" w:hAnsi="宋体" w:cs="宋体"/>
          <w:b/>
          <w:sz w:val="28"/>
          <w:szCs w:val="28"/>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r>
        <w:rPr>
          <w:rStyle w:val="68"/>
          <w:b/>
          <w:bCs/>
          <w:sz w:val="32"/>
          <w:szCs w:val="32"/>
        </w:rPr>
        <w:t>时间：</w:t>
      </w:r>
      <w:r>
        <w:rPr>
          <w:rStyle w:val="68"/>
          <w:rFonts w:ascii="宋体" w:hAnsi="宋体" w:cs="宋体"/>
          <w:b/>
          <w:bCs/>
          <w:sz w:val="32"/>
          <w:szCs w:val="32"/>
        </w:rPr>
        <w:t>二0二</w:t>
      </w:r>
      <w:r>
        <w:rPr>
          <w:rStyle w:val="68"/>
          <w:rFonts w:hint="eastAsia" w:ascii="宋体" w:hAnsi="宋体" w:cs="宋体"/>
          <w:b/>
          <w:bCs/>
          <w:sz w:val="32"/>
          <w:szCs w:val="32"/>
        </w:rPr>
        <w:t>五</w:t>
      </w:r>
      <w:r>
        <w:rPr>
          <w:rStyle w:val="68"/>
          <w:b/>
          <w:bCs/>
          <w:sz w:val="32"/>
          <w:szCs w:val="32"/>
        </w:rPr>
        <w:t>年</w:t>
      </w:r>
      <w:r>
        <w:rPr>
          <w:rStyle w:val="68"/>
          <w:rFonts w:hint="eastAsia"/>
          <w:b/>
          <w:bCs/>
          <w:sz w:val="32"/>
          <w:szCs w:val="32"/>
        </w:rPr>
        <w:t>三</w:t>
      </w:r>
      <w:r>
        <w:rPr>
          <w:rStyle w:val="68"/>
          <w:b/>
          <w:bCs/>
          <w:sz w:val="32"/>
          <w:szCs w:val="32"/>
        </w:rPr>
        <w:t>月</w:t>
      </w:r>
    </w:p>
    <w:p w14:paraId="4DD3E56C">
      <w:pPr>
        <w:pStyle w:val="14"/>
        <w:tabs>
          <w:tab w:val="right" w:leader="middleDot" w:pos="9638"/>
        </w:tabs>
        <w:jc w:val="center"/>
        <w:rPr>
          <w:rFonts w:hint="eastAsia" w:ascii="宋体" w:hAnsi="宋体" w:cs="宋体"/>
          <w:b/>
          <w:color w:val="000000"/>
          <w:sz w:val="56"/>
          <w:szCs w:val="56"/>
          <w:lang w:val="zh-CN"/>
        </w:rPr>
      </w:pPr>
      <w:r>
        <w:rPr>
          <w:rFonts w:hint="eastAsia" w:ascii="宋体" w:hAnsi="宋体" w:cs="宋体"/>
          <w:b/>
          <w:color w:val="000000"/>
          <w:sz w:val="56"/>
          <w:szCs w:val="56"/>
          <w:lang w:val="zh-CN"/>
        </w:rPr>
        <w:t>目  录</w:t>
      </w:r>
    </w:p>
    <w:p w14:paraId="5515356D">
      <w:pPr>
        <w:pStyle w:val="14"/>
        <w:tabs>
          <w:tab w:val="right" w:leader="dot" w:pos="9746"/>
        </w:tabs>
        <w:spacing w:line="360" w:lineRule="auto"/>
        <w:rPr>
          <w:rFonts w:hint="eastAsia" w:ascii="宋体" w:hAnsi="宋体" w:cs="宋体"/>
          <w:sz w:val="32"/>
          <w:szCs w:val="32"/>
        </w:rPr>
      </w:pPr>
      <w:r>
        <w:rPr>
          <w:rFonts w:hint="eastAsia" w:ascii="宋体" w:hAnsi="宋体" w:cs="宋体"/>
          <w:b/>
          <w:color w:val="000000"/>
          <w:sz w:val="32"/>
          <w:szCs w:val="32"/>
          <w:lang w:val="zh-CN"/>
        </w:rPr>
        <w:fldChar w:fldCharType="begin"/>
      </w:r>
      <w:r>
        <w:rPr>
          <w:rFonts w:hint="eastAsia" w:ascii="宋体" w:hAnsi="宋体" w:cs="宋体"/>
          <w:b/>
          <w:color w:val="000000"/>
          <w:sz w:val="32"/>
          <w:szCs w:val="32"/>
          <w:lang w:val="zh-CN"/>
        </w:rPr>
        <w:instrText xml:space="preserve">TOC \o "1-1" \h \u </w:instrText>
      </w:r>
      <w:r>
        <w:rPr>
          <w:rFonts w:hint="eastAsia" w:ascii="宋体" w:hAnsi="宋体" w:cs="宋体"/>
          <w:b/>
          <w:color w:val="000000"/>
          <w:sz w:val="32"/>
          <w:szCs w:val="32"/>
          <w:lang w:val="zh-CN"/>
        </w:rPr>
        <w:fldChar w:fldCharType="separate"/>
      </w:r>
      <w:r>
        <w:fldChar w:fldCharType="begin"/>
      </w:r>
      <w:r>
        <w:instrText xml:space="preserve"> HYPERLINK \l "_Toc19486" </w:instrText>
      </w:r>
      <w:r>
        <w:fldChar w:fldCharType="separate"/>
      </w:r>
      <w:r>
        <w:rPr>
          <w:rFonts w:hint="eastAsia" w:ascii="宋体" w:hAnsi="宋体" w:cs="宋体"/>
          <w:sz w:val="32"/>
          <w:szCs w:val="32"/>
        </w:rPr>
        <w:t>第一章  招标公告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_Toc19486 \h </w:instrText>
      </w:r>
      <w:r>
        <w:rPr>
          <w:rFonts w:hint="eastAsia" w:ascii="宋体" w:hAnsi="宋体" w:cs="宋体"/>
          <w:sz w:val="32"/>
          <w:szCs w:val="32"/>
        </w:rPr>
        <w:fldChar w:fldCharType="separate"/>
      </w:r>
      <w:r>
        <w:rPr>
          <w:rFonts w:hint="eastAsia" w:ascii="宋体" w:hAnsi="宋体" w:cs="宋体"/>
          <w:sz w:val="32"/>
          <w:szCs w:val="32"/>
        </w:rPr>
        <w:t>1</w:t>
      </w:r>
      <w:r>
        <w:rPr>
          <w:rFonts w:hint="eastAsia" w:ascii="宋体" w:hAnsi="宋体" w:cs="宋体"/>
          <w:sz w:val="32"/>
          <w:szCs w:val="32"/>
        </w:rPr>
        <w:fldChar w:fldCharType="end"/>
      </w:r>
      <w:r>
        <w:rPr>
          <w:rFonts w:hint="eastAsia" w:ascii="宋体" w:hAnsi="宋体" w:cs="宋体"/>
          <w:sz w:val="32"/>
          <w:szCs w:val="32"/>
        </w:rPr>
        <w:fldChar w:fldCharType="end"/>
      </w:r>
    </w:p>
    <w:p w14:paraId="29AF8498">
      <w:pPr>
        <w:pStyle w:val="14"/>
        <w:tabs>
          <w:tab w:val="right" w:leader="dot" w:pos="9746"/>
        </w:tabs>
        <w:spacing w:line="360" w:lineRule="auto"/>
        <w:rPr>
          <w:rFonts w:hint="eastAsia" w:ascii="宋体" w:hAnsi="宋体" w:cs="宋体"/>
          <w:sz w:val="32"/>
          <w:szCs w:val="32"/>
        </w:rPr>
      </w:pPr>
      <w:r>
        <w:fldChar w:fldCharType="begin"/>
      </w:r>
      <w:r>
        <w:instrText xml:space="preserve"> HYPERLINK \l "_Toc18032" </w:instrText>
      </w:r>
      <w:r>
        <w:fldChar w:fldCharType="separate"/>
      </w:r>
      <w:r>
        <w:rPr>
          <w:rFonts w:hint="eastAsia" w:ascii="宋体" w:hAnsi="宋体" w:cs="宋体"/>
          <w:sz w:val="32"/>
          <w:szCs w:val="32"/>
          <w:lang w:val="zh-CN"/>
        </w:rPr>
        <w:t>第二章  投标人须知</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_Toc18032 \h </w:instrText>
      </w:r>
      <w:r>
        <w:rPr>
          <w:rFonts w:hint="eastAsia" w:ascii="宋体" w:hAnsi="宋体" w:cs="宋体"/>
          <w:sz w:val="32"/>
          <w:szCs w:val="32"/>
        </w:rPr>
        <w:fldChar w:fldCharType="separate"/>
      </w:r>
      <w:r>
        <w:rPr>
          <w:rFonts w:hint="eastAsia" w:ascii="宋体" w:hAnsi="宋体" w:cs="宋体"/>
          <w:sz w:val="32"/>
          <w:szCs w:val="32"/>
        </w:rPr>
        <w:t>5</w:t>
      </w:r>
      <w:r>
        <w:rPr>
          <w:rFonts w:hint="eastAsia" w:ascii="宋体" w:hAnsi="宋体" w:cs="宋体"/>
          <w:sz w:val="32"/>
          <w:szCs w:val="32"/>
        </w:rPr>
        <w:fldChar w:fldCharType="end"/>
      </w:r>
      <w:r>
        <w:rPr>
          <w:rFonts w:hint="eastAsia" w:ascii="宋体" w:hAnsi="宋体" w:cs="宋体"/>
          <w:sz w:val="32"/>
          <w:szCs w:val="32"/>
        </w:rPr>
        <w:fldChar w:fldCharType="end"/>
      </w:r>
    </w:p>
    <w:p w14:paraId="4D7E8792">
      <w:pPr>
        <w:pStyle w:val="14"/>
        <w:tabs>
          <w:tab w:val="right" w:leader="dot" w:pos="9746"/>
        </w:tabs>
        <w:spacing w:line="360" w:lineRule="auto"/>
        <w:rPr>
          <w:rFonts w:hint="eastAsia" w:ascii="宋体" w:hAnsi="宋体" w:cs="宋体"/>
          <w:sz w:val="32"/>
          <w:szCs w:val="32"/>
        </w:rPr>
      </w:pPr>
      <w:r>
        <w:fldChar w:fldCharType="begin"/>
      </w:r>
      <w:r>
        <w:instrText xml:space="preserve"> HYPERLINK \l "_Toc22101" </w:instrText>
      </w:r>
      <w:r>
        <w:fldChar w:fldCharType="separate"/>
      </w:r>
      <w:r>
        <w:rPr>
          <w:rFonts w:hint="eastAsia" w:ascii="宋体" w:hAnsi="宋体" w:cs="宋体"/>
          <w:sz w:val="32"/>
          <w:szCs w:val="32"/>
        </w:rPr>
        <w:t>第三章  评标标准和方法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_Toc22101 \h </w:instrText>
      </w:r>
      <w:r>
        <w:rPr>
          <w:rFonts w:hint="eastAsia" w:ascii="宋体" w:hAnsi="宋体" w:cs="宋体"/>
          <w:sz w:val="32"/>
          <w:szCs w:val="32"/>
        </w:rPr>
        <w:fldChar w:fldCharType="separate"/>
      </w:r>
      <w:r>
        <w:rPr>
          <w:rFonts w:hint="eastAsia" w:ascii="宋体" w:hAnsi="宋体" w:cs="宋体"/>
          <w:sz w:val="32"/>
          <w:szCs w:val="32"/>
        </w:rPr>
        <w:t>21</w:t>
      </w:r>
      <w:r>
        <w:rPr>
          <w:rFonts w:hint="eastAsia" w:ascii="宋体" w:hAnsi="宋体" w:cs="宋体"/>
          <w:sz w:val="32"/>
          <w:szCs w:val="32"/>
        </w:rPr>
        <w:fldChar w:fldCharType="end"/>
      </w:r>
      <w:r>
        <w:rPr>
          <w:rFonts w:hint="eastAsia" w:ascii="宋体" w:hAnsi="宋体" w:cs="宋体"/>
          <w:sz w:val="32"/>
          <w:szCs w:val="32"/>
        </w:rPr>
        <w:fldChar w:fldCharType="end"/>
      </w:r>
    </w:p>
    <w:p w14:paraId="0A23C967">
      <w:pPr>
        <w:pStyle w:val="14"/>
        <w:tabs>
          <w:tab w:val="right" w:leader="dot" w:pos="9746"/>
        </w:tabs>
        <w:spacing w:line="360" w:lineRule="auto"/>
        <w:rPr>
          <w:rFonts w:hint="eastAsia" w:ascii="宋体" w:hAnsi="宋体" w:cs="宋体"/>
          <w:sz w:val="32"/>
          <w:szCs w:val="32"/>
        </w:rPr>
      </w:pPr>
      <w:r>
        <w:fldChar w:fldCharType="begin"/>
      </w:r>
      <w:r>
        <w:instrText xml:space="preserve"> HYPERLINK \l "_Toc26696" </w:instrText>
      </w:r>
      <w:r>
        <w:fldChar w:fldCharType="separate"/>
      </w:r>
      <w:r>
        <w:rPr>
          <w:rFonts w:hint="eastAsia" w:ascii="宋体" w:hAnsi="宋体" w:cs="宋体"/>
          <w:sz w:val="32"/>
          <w:szCs w:val="32"/>
          <w:lang w:val="zh-CN"/>
        </w:rPr>
        <w:t>第</w:t>
      </w:r>
      <w:r>
        <w:rPr>
          <w:rFonts w:hint="eastAsia" w:ascii="宋体" w:hAnsi="宋体" w:cs="宋体"/>
          <w:sz w:val="32"/>
          <w:szCs w:val="32"/>
        </w:rPr>
        <w:t>四</w:t>
      </w:r>
      <w:r>
        <w:rPr>
          <w:rFonts w:hint="eastAsia" w:ascii="宋体" w:hAnsi="宋体" w:cs="宋体"/>
          <w:sz w:val="32"/>
          <w:szCs w:val="32"/>
          <w:lang w:val="zh-CN"/>
        </w:rPr>
        <w:t xml:space="preserve">章 </w:t>
      </w:r>
      <w:r>
        <w:rPr>
          <w:rFonts w:hint="eastAsia" w:ascii="宋体" w:hAnsi="宋体" w:cs="宋体"/>
          <w:sz w:val="32"/>
          <w:szCs w:val="32"/>
        </w:rPr>
        <w:t xml:space="preserve"> </w:t>
      </w:r>
      <w:r>
        <w:rPr>
          <w:rFonts w:hint="eastAsia" w:ascii="宋体" w:hAnsi="宋体" w:cs="宋体"/>
          <w:sz w:val="32"/>
          <w:szCs w:val="32"/>
          <w:lang w:val="zh-CN"/>
        </w:rPr>
        <w:t>政府采购合同书格式（范本）</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_Toc26696 \h </w:instrText>
      </w:r>
      <w:r>
        <w:rPr>
          <w:rFonts w:hint="eastAsia" w:ascii="宋体" w:hAnsi="宋体" w:cs="宋体"/>
          <w:sz w:val="32"/>
          <w:szCs w:val="32"/>
        </w:rPr>
        <w:fldChar w:fldCharType="separate"/>
      </w:r>
      <w:r>
        <w:rPr>
          <w:rFonts w:hint="eastAsia" w:ascii="宋体" w:hAnsi="宋体" w:cs="宋体"/>
          <w:sz w:val="32"/>
          <w:szCs w:val="32"/>
        </w:rPr>
        <w:t>33</w:t>
      </w:r>
      <w:r>
        <w:rPr>
          <w:rFonts w:hint="eastAsia" w:ascii="宋体" w:hAnsi="宋体" w:cs="宋体"/>
          <w:sz w:val="32"/>
          <w:szCs w:val="32"/>
        </w:rPr>
        <w:fldChar w:fldCharType="end"/>
      </w:r>
      <w:r>
        <w:rPr>
          <w:rFonts w:hint="eastAsia" w:ascii="宋体" w:hAnsi="宋体" w:cs="宋体"/>
          <w:sz w:val="32"/>
          <w:szCs w:val="32"/>
        </w:rPr>
        <w:fldChar w:fldCharType="end"/>
      </w:r>
    </w:p>
    <w:p w14:paraId="19F23456">
      <w:pPr>
        <w:pStyle w:val="14"/>
        <w:tabs>
          <w:tab w:val="right" w:leader="dot" w:pos="9746"/>
        </w:tabs>
        <w:spacing w:line="360" w:lineRule="auto"/>
        <w:rPr>
          <w:rFonts w:hint="eastAsia" w:ascii="宋体" w:hAnsi="宋体" w:cs="宋体"/>
          <w:sz w:val="32"/>
          <w:szCs w:val="32"/>
        </w:rPr>
      </w:pPr>
      <w:r>
        <w:fldChar w:fldCharType="begin"/>
      </w:r>
      <w:r>
        <w:instrText xml:space="preserve"> HYPERLINK \l "_Toc29433" </w:instrText>
      </w:r>
      <w:r>
        <w:fldChar w:fldCharType="separate"/>
      </w:r>
      <w:r>
        <w:rPr>
          <w:rFonts w:hint="eastAsia" w:ascii="宋体" w:hAnsi="宋体" w:cs="宋体"/>
          <w:sz w:val="32"/>
          <w:szCs w:val="32"/>
        </w:rPr>
        <w:t>第五章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_Toc29433 \h </w:instrText>
      </w:r>
      <w:r>
        <w:rPr>
          <w:rFonts w:hint="eastAsia" w:ascii="宋体" w:hAnsi="宋体" w:cs="宋体"/>
          <w:sz w:val="32"/>
          <w:szCs w:val="32"/>
        </w:rPr>
        <w:fldChar w:fldCharType="separate"/>
      </w:r>
      <w:r>
        <w:rPr>
          <w:rFonts w:hint="eastAsia" w:ascii="宋体" w:hAnsi="宋体" w:cs="宋体"/>
          <w:sz w:val="32"/>
          <w:szCs w:val="32"/>
        </w:rPr>
        <w:t>35</w:t>
      </w:r>
      <w:r>
        <w:rPr>
          <w:rFonts w:hint="eastAsia" w:ascii="宋体" w:hAnsi="宋体" w:cs="宋体"/>
          <w:sz w:val="32"/>
          <w:szCs w:val="32"/>
        </w:rPr>
        <w:fldChar w:fldCharType="end"/>
      </w:r>
      <w:r>
        <w:rPr>
          <w:rFonts w:hint="eastAsia" w:ascii="宋体" w:hAnsi="宋体" w:cs="宋体"/>
          <w:sz w:val="32"/>
          <w:szCs w:val="32"/>
        </w:rPr>
        <w:fldChar w:fldCharType="end"/>
      </w:r>
    </w:p>
    <w:p w14:paraId="7BCE7864">
      <w:pPr>
        <w:pStyle w:val="14"/>
        <w:tabs>
          <w:tab w:val="right" w:leader="dot" w:pos="9746"/>
        </w:tabs>
        <w:spacing w:line="360" w:lineRule="auto"/>
        <w:rPr>
          <w:rFonts w:hint="eastAsia" w:ascii="宋体" w:hAnsi="宋体" w:cs="宋体"/>
          <w:sz w:val="32"/>
          <w:szCs w:val="32"/>
        </w:rPr>
      </w:pPr>
      <w:r>
        <w:fldChar w:fldCharType="begin"/>
      </w:r>
      <w:r>
        <w:instrText xml:space="preserve"> HYPERLINK \l "_Toc16637" </w:instrText>
      </w:r>
      <w:r>
        <w:fldChar w:fldCharType="separate"/>
      </w:r>
      <w:r>
        <w:rPr>
          <w:rFonts w:hint="eastAsia" w:ascii="宋体" w:hAnsi="宋体" w:cs="宋体"/>
          <w:sz w:val="32"/>
          <w:szCs w:val="32"/>
          <w:lang w:val="zh-CN"/>
        </w:rPr>
        <w:t>第</w:t>
      </w:r>
      <w:r>
        <w:rPr>
          <w:rFonts w:hint="eastAsia" w:ascii="宋体" w:hAnsi="宋体" w:cs="宋体"/>
          <w:sz w:val="32"/>
          <w:szCs w:val="32"/>
        </w:rPr>
        <w:t>六</w:t>
      </w:r>
      <w:r>
        <w:rPr>
          <w:rFonts w:hint="eastAsia" w:ascii="宋体" w:hAnsi="宋体" w:cs="宋体"/>
          <w:sz w:val="32"/>
          <w:szCs w:val="32"/>
          <w:lang w:val="zh-CN"/>
        </w:rPr>
        <w:t>章  投标文件构成、要求及格式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_Toc16637 \h </w:instrText>
      </w:r>
      <w:r>
        <w:rPr>
          <w:rFonts w:hint="eastAsia" w:ascii="宋体" w:hAnsi="宋体" w:cs="宋体"/>
          <w:sz w:val="32"/>
          <w:szCs w:val="32"/>
        </w:rPr>
        <w:fldChar w:fldCharType="separate"/>
      </w:r>
      <w:r>
        <w:rPr>
          <w:rFonts w:hint="eastAsia" w:ascii="宋体" w:hAnsi="宋体" w:cs="宋体"/>
          <w:sz w:val="32"/>
          <w:szCs w:val="32"/>
        </w:rPr>
        <w:t>75</w:t>
      </w:r>
      <w:r>
        <w:rPr>
          <w:rFonts w:hint="eastAsia" w:ascii="宋体" w:hAnsi="宋体" w:cs="宋体"/>
          <w:sz w:val="32"/>
          <w:szCs w:val="32"/>
        </w:rPr>
        <w:fldChar w:fldCharType="end"/>
      </w:r>
      <w:r>
        <w:rPr>
          <w:rFonts w:hint="eastAsia" w:ascii="宋体" w:hAnsi="宋体" w:cs="宋体"/>
          <w:sz w:val="32"/>
          <w:szCs w:val="32"/>
        </w:rPr>
        <w:fldChar w:fldCharType="end"/>
      </w:r>
    </w:p>
    <w:p w14:paraId="3AED9A86">
      <w:pPr>
        <w:pStyle w:val="14"/>
        <w:tabs>
          <w:tab w:val="right" w:leader="dot" w:pos="9746"/>
        </w:tabs>
        <w:spacing w:line="360" w:lineRule="auto"/>
        <w:rPr>
          <w:rFonts w:hint="eastAsia" w:ascii="宋体" w:hAnsi="宋体" w:cs="宋体"/>
          <w:sz w:val="32"/>
          <w:szCs w:val="32"/>
        </w:rPr>
      </w:pPr>
      <w:r>
        <w:fldChar w:fldCharType="begin"/>
      </w:r>
      <w:r>
        <w:instrText xml:space="preserve"> HYPERLINK \l "_Toc15771" </w:instrText>
      </w:r>
      <w:r>
        <w:fldChar w:fldCharType="separate"/>
      </w:r>
      <w:r>
        <w:rPr>
          <w:rFonts w:hint="eastAsia" w:ascii="宋体" w:hAnsi="宋体" w:cs="宋体"/>
          <w:sz w:val="32"/>
          <w:szCs w:val="32"/>
          <w:lang w:val="zh-CN"/>
        </w:rPr>
        <w:t>第</w:t>
      </w:r>
      <w:r>
        <w:rPr>
          <w:rFonts w:hint="eastAsia" w:ascii="宋体" w:hAnsi="宋体" w:cs="宋体"/>
          <w:sz w:val="32"/>
          <w:szCs w:val="32"/>
        </w:rPr>
        <w:t>七</w:t>
      </w:r>
      <w:r>
        <w:rPr>
          <w:rFonts w:hint="eastAsia" w:ascii="宋体" w:hAnsi="宋体" w:cs="宋体"/>
          <w:sz w:val="32"/>
          <w:szCs w:val="32"/>
          <w:lang w:val="zh-CN"/>
        </w:rPr>
        <w:t>章  附件</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_Toc15771 \h </w:instrText>
      </w:r>
      <w:r>
        <w:rPr>
          <w:rFonts w:hint="eastAsia" w:ascii="宋体" w:hAnsi="宋体" w:cs="宋体"/>
          <w:sz w:val="32"/>
          <w:szCs w:val="32"/>
        </w:rPr>
        <w:fldChar w:fldCharType="separate"/>
      </w:r>
      <w:r>
        <w:rPr>
          <w:rFonts w:hint="eastAsia" w:ascii="宋体" w:hAnsi="宋体" w:cs="宋体"/>
          <w:sz w:val="32"/>
          <w:szCs w:val="32"/>
        </w:rPr>
        <w:t>107</w:t>
      </w:r>
      <w:r>
        <w:rPr>
          <w:rFonts w:hint="eastAsia" w:ascii="宋体" w:hAnsi="宋体" w:cs="宋体"/>
          <w:sz w:val="32"/>
          <w:szCs w:val="32"/>
        </w:rPr>
        <w:fldChar w:fldCharType="end"/>
      </w:r>
      <w:r>
        <w:rPr>
          <w:rFonts w:hint="eastAsia" w:ascii="宋体" w:hAnsi="宋体" w:cs="宋体"/>
          <w:sz w:val="32"/>
          <w:szCs w:val="32"/>
        </w:rPr>
        <w:fldChar w:fldCharType="end"/>
      </w:r>
    </w:p>
    <w:p w14:paraId="484DECCF">
      <w:pPr>
        <w:autoSpaceDE w:val="0"/>
        <w:autoSpaceDN w:val="0"/>
        <w:adjustRightInd w:val="0"/>
        <w:spacing w:line="360" w:lineRule="auto"/>
        <w:jc w:val="center"/>
        <w:rPr>
          <w:rFonts w:hint="eastAsia" w:ascii="宋体" w:hAnsi="宋体" w:cs="宋体"/>
          <w:b/>
          <w:color w:val="000000"/>
          <w:sz w:val="56"/>
          <w:szCs w:val="56"/>
          <w:lang w:val="zh-CN"/>
        </w:rPr>
      </w:pPr>
      <w:r>
        <w:rPr>
          <w:rFonts w:hint="eastAsia" w:ascii="宋体" w:hAnsi="宋体" w:cs="宋体"/>
          <w:color w:val="000000"/>
          <w:sz w:val="32"/>
          <w:szCs w:val="32"/>
          <w:lang w:val="zh-CN"/>
        </w:rPr>
        <w:fldChar w:fldCharType="end"/>
      </w:r>
    </w:p>
    <w:p w14:paraId="70828AC7">
      <w:pPr>
        <w:autoSpaceDE w:val="0"/>
        <w:autoSpaceDN w:val="0"/>
        <w:adjustRightInd w:val="0"/>
        <w:jc w:val="center"/>
        <w:rPr>
          <w:rFonts w:hint="eastAsia" w:ascii="宋体" w:hAnsi="宋体" w:cs="宋体"/>
          <w:b/>
          <w:color w:val="000000"/>
          <w:sz w:val="56"/>
          <w:szCs w:val="56"/>
          <w:lang w:val="zh-CN"/>
        </w:rPr>
      </w:pPr>
    </w:p>
    <w:p w14:paraId="5B12DC5E">
      <w:pPr>
        <w:rPr>
          <w:rFonts w:hint="eastAsia" w:ascii="宋体" w:hAnsi="宋体" w:cs="宋体"/>
          <w:color w:val="000000"/>
          <w:szCs w:val="21"/>
        </w:rPr>
      </w:pPr>
    </w:p>
    <w:p w14:paraId="7D9CE786">
      <w:pPr>
        <w:autoSpaceDE w:val="0"/>
        <w:autoSpaceDN w:val="0"/>
        <w:adjustRightInd w:val="0"/>
        <w:ind w:firstLine="422" w:firstLineChars="200"/>
        <w:jc w:val="center"/>
        <w:rPr>
          <w:rFonts w:hint="eastAsia" w:ascii="宋体" w:hAnsi="宋体" w:cs="宋体"/>
          <w:b/>
          <w:color w:val="000000"/>
          <w:szCs w:val="21"/>
          <w:lang w:val="zh-CN"/>
        </w:rPr>
      </w:pPr>
    </w:p>
    <w:p w14:paraId="076AF6AB">
      <w:pPr>
        <w:autoSpaceDE w:val="0"/>
        <w:autoSpaceDN w:val="0"/>
        <w:adjustRightInd w:val="0"/>
        <w:jc w:val="center"/>
        <w:rPr>
          <w:rFonts w:hint="eastAsia" w:ascii="宋体" w:hAnsi="宋体" w:cs="宋体"/>
          <w:b/>
          <w:color w:val="000000"/>
          <w:szCs w:val="21"/>
          <w:lang w:val="zh-CN"/>
        </w:rPr>
      </w:pPr>
    </w:p>
    <w:p w14:paraId="2D85C2AF">
      <w:pPr>
        <w:autoSpaceDE w:val="0"/>
        <w:autoSpaceDN w:val="0"/>
        <w:adjustRightInd w:val="0"/>
        <w:jc w:val="center"/>
        <w:rPr>
          <w:rFonts w:hint="eastAsia" w:ascii="宋体" w:hAnsi="宋体" w:cs="宋体"/>
          <w:b/>
          <w:color w:val="000000"/>
          <w:szCs w:val="21"/>
          <w:lang w:val="zh-CN"/>
        </w:rPr>
      </w:pPr>
    </w:p>
    <w:p w14:paraId="7F8A6EC4">
      <w:pPr>
        <w:autoSpaceDE w:val="0"/>
        <w:autoSpaceDN w:val="0"/>
        <w:adjustRightInd w:val="0"/>
        <w:jc w:val="center"/>
        <w:rPr>
          <w:rFonts w:hint="eastAsia" w:ascii="宋体" w:hAnsi="宋体" w:cs="宋体"/>
          <w:b/>
          <w:color w:val="000000"/>
          <w:szCs w:val="21"/>
          <w:lang w:val="zh-CN"/>
        </w:rPr>
      </w:pPr>
    </w:p>
    <w:p w14:paraId="7CC84212">
      <w:pPr>
        <w:autoSpaceDE w:val="0"/>
        <w:autoSpaceDN w:val="0"/>
        <w:adjustRightInd w:val="0"/>
        <w:jc w:val="center"/>
        <w:rPr>
          <w:rFonts w:hint="eastAsia" w:ascii="宋体" w:hAnsi="宋体" w:cs="宋体"/>
          <w:b/>
          <w:color w:val="000000"/>
          <w:szCs w:val="21"/>
          <w:lang w:val="zh-CN"/>
        </w:rPr>
      </w:pPr>
    </w:p>
    <w:p w14:paraId="299BA9E5">
      <w:pPr>
        <w:autoSpaceDE w:val="0"/>
        <w:autoSpaceDN w:val="0"/>
        <w:adjustRightInd w:val="0"/>
        <w:jc w:val="center"/>
        <w:rPr>
          <w:rFonts w:hint="eastAsia" w:ascii="宋体" w:hAnsi="宋体" w:cs="宋体"/>
          <w:b/>
          <w:color w:val="000000"/>
          <w:szCs w:val="21"/>
          <w:lang w:val="zh-CN"/>
        </w:rPr>
      </w:pPr>
    </w:p>
    <w:p w14:paraId="53D18BAF">
      <w:pPr>
        <w:pStyle w:val="10"/>
        <w:jc w:val="center"/>
        <w:rPr>
          <w:rFonts w:hint="eastAsia" w:hAnsi="宋体" w:cs="宋体"/>
          <w:b/>
          <w:color w:val="000000"/>
          <w:szCs w:val="21"/>
        </w:rPr>
        <w:sectPr>
          <w:headerReference r:id="rId9" w:type="first"/>
          <w:footerReference r:id="rId11" w:type="first"/>
          <w:headerReference r:id="rId8" w:type="default"/>
          <w:footerReference r:id="rId10" w:type="default"/>
          <w:pgSz w:w="11906" w:h="16838"/>
          <w:pgMar w:top="1440" w:right="1080" w:bottom="1440" w:left="1080" w:header="851" w:footer="737" w:gutter="0"/>
          <w:pgNumType w:fmt="numberInDash" w:start="0"/>
          <w:cols w:space="720" w:num="1"/>
          <w:titlePg/>
          <w:docGrid w:type="lines" w:linePitch="490" w:charSpace="0"/>
        </w:sectPr>
      </w:pPr>
    </w:p>
    <w:p w14:paraId="28E89C15">
      <w:pPr>
        <w:pStyle w:val="2"/>
        <w:rPr>
          <w:rFonts w:hint="eastAsia" w:ascii="华文中宋" w:hAnsi="华文中宋" w:eastAsia="华文中宋"/>
          <w:sz w:val="32"/>
          <w:szCs w:val="32"/>
        </w:rPr>
      </w:pPr>
      <w:bookmarkStart w:id="0" w:name="_Toc19486"/>
      <w:bookmarkStart w:id="1" w:name="_Toc359494608"/>
      <w:r>
        <w:rPr>
          <w:rFonts w:hint="eastAsia"/>
          <w:sz w:val="32"/>
          <w:szCs w:val="32"/>
        </w:rPr>
        <w:t>第一章  招标公告</w:t>
      </w:r>
      <w:bookmarkEnd w:id="0"/>
    </w:p>
    <w:p w14:paraId="7EB88D7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项目概况</w:t>
      </w:r>
    </w:p>
    <w:p w14:paraId="09192000">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sz w:val="24"/>
          <w:szCs w:val="24"/>
        </w:rPr>
      </w:pPr>
      <w:r>
        <w:rPr>
          <w:rFonts w:hint="eastAsia" w:ascii="宋体" w:hAnsi="宋体" w:cs="宋体"/>
          <w:sz w:val="24"/>
          <w:szCs w:val="24"/>
        </w:rPr>
        <w:t>新能源汽车综合应用实训室建设项目的潜在投标人应在“政采云”平台（www.zcygov.cn）上自主获取（下载）采购文件，并于</w:t>
      </w:r>
      <w:r>
        <w:rPr>
          <w:rFonts w:hint="eastAsia" w:ascii="宋体" w:hAnsi="宋体" w:cs="宋体"/>
          <w:bCs/>
          <w:color w:val="000000"/>
          <w:sz w:val="24"/>
          <w:szCs w:val="24"/>
          <w:highlight w:val="none"/>
        </w:rPr>
        <w:t>2025年</w:t>
      </w:r>
      <w:r>
        <w:rPr>
          <w:rFonts w:hint="eastAsia" w:ascii="宋体" w:hAnsi="宋体" w:cs="宋体"/>
          <w:bCs/>
          <w:color w:val="000000"/>
          <w:sz w:val="24"/>
          <w:szCs w:val="24"/>
          <w:highlight w:val="none"/>
          <w:lang w:val="en-US" w:eastAsia="zh-CN"/>
        </w:rPr>
        <w:t>5</w:t>
      </w:r>
      <w:r>
        <w:rPr>
          <w:rFonts w:hint="eastAsia" w:ascii="宋体" w:hAnsi="宋体" w:cs="宋体"/>
          <w:bCs/>
          <w:color w:val="000000"/>
          <w:sz w:val="24"/>
          <w:szCs w:val="24"/>
          <w:highlight w:val="none"/>
        </w:rPr>
        <w:t>月</w:t>
      </w:r>
      <w:r>
        <w:rPr>
          <w:rFonts w:hint="eastAsia" w:ascii="宋体" w:hAnsi="宋体" w:cs="宋体"/>
          <w:bCs/>
          <w:color w:val="000000"/>
          <w:sz w:val="24"/>
          <w:szCs w:val="24"/>
          <w:highlight w:val="none"/>
          <w:lang w:val="en-US" w:eastAsia="zh-CN"/>
        </w:rPr>
        <w:t>9</w:t>
      </w:r>
      <w:r>
        <w:rPr>
          <w:rFonts w:hint="eastAsia" w:ascii="宋体" w:hAnsi="宋体" w:cs="宋体"/>
          <w:bCs/>
          <w:color w:val="000000"/>
          <w:sz w:val="24"/>
          <w:szCs w:val="24"/>
          <w:highlight w:val="none"/>
        </w:rPr>
        <w:t>日</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时</w:t>
      </w:r>
      <w:r>
        <w:rPr>
          <w:rFonts w:hint="eastAsia" w:ascii="宋体" w:hAnsi="宋体" w:cs="宋体"/>
          <w:bCs/>
          <w:color w:val="000000"/>
          <w:sz w:val="24"/>
          <w:szCs w:val="24"/>
          <w:highlight w:val="none"/>
          <w:lang w:val="en-US" w:eastAsia="zh-CN"/>
        </w:rPr>
        <w:t>0</w:t>
      </w:r>
      <w:r>
        <w:rPr>
          <w:rFonts w:hint="eastAsia" w:ascii="宋体" w:hAnsi="宋体" w:cs="宋体"/>
          <w:bCs/>
          <w:color w:val="000000"/>
          <w:sz w:val="24"/>
          <w:szCs w:val="24"/>
          <w:highlight w:val="none"/>
        </w:rPr>
        <w:t>0分</w:t>
      </w:r>
      <w:bookmarkStart w:id="45" w:name="_GoBack"/>
      <w:bookmarkEnd w:id="45"/>
      <w:r>
        <w:rPr>
          <w:rFonts w:hint="eastAsia" w:ascii="宋体" w:hAnsi="宋体" w:cs="宋体"/>
          <w:sz w:val="24"/>
          <w:szCs w:val="24"/>
        </w:rPr>
        <w:t>（北京时间）前递交（上传）投标文件。</w:t>
      </w:r>
    </w:p>
    <w:p w14:paraId="23ED51FB">
      <w:pPr>
        <w:spacing w:line="360" w:lineRule="auto"/>
        <w:rPr>
          <w:rFonts w:hint="eastAsia" w:ascii="宋体" w:hAnsi="宋体" w:cs="宋体"/>
          <w:sz w:val="24"/>
          <w:szCs w:val="24"/>
        </w:rPr>
      </w:pPr>
      <w:bookmarkStart w:id="2" w:name="_Toc28359002"/>
      <w:bookmarkStart w:id="3" w:name="_Toc28359079"/>
      <w:bookmarkStart w:id="4" w:name="_Hlk24379207"/>
      <w:r>
        <w:rPr>
          <w:rFonts w:hint="eastAsia" w:ascii="宋体" w:hAnsi="宋体" w:cs="宋体"/>
          <w:sz w:val="24"/>
          <w:szCs w:val="24"/>
        </w:rPr>
        <w:t>一、项目基本情况</w:t>
      </w:r>
      <w:bookmarkEnd w:id="2"/>
      <w:bookmarkEnd w:id="3"/>
    </w:p>
    <w:p w14:paraId="626EC394">
      <w:pPr>
        <w:tabs>
          <w:tab w:val="center" w:pos="5233"/>
        </w:tabs>
        <w:spacing w:line="360" w:lineRule="auto"/>
        <w:ind w:firstLine="480" w:firstLineChars="200"/>
        <w:rPr>
          <w:rFonts w:hint="eastAsia" w:ascii="宋体" w:hAnsi="宋体" w:cs="宋体"/>
          <w:sz w:val="24"/>
          <w:szCs w:val="24"/>
        </w:rPr>
      </w:pPr>
      <w:r>
        <w:rPr>
          <w:rFonts w:hint="eastAsia" w:ascii="宋体" w:hAnsi="宋体" w:cs="宋体"/>
          <w:sz w:val="24"/>
          <w:szCs w:val="24"/>
        </w:rPr>
        <w:t>项目编号：</w:t>
      </w:r>
      <w:r>
        <w:fldChar w:fldCharType="begin"/>
      </w:r>
      <w:r>
        <w:instrText xml:space="preserve">HYPERLINK "https://www.zcygov.cn/gaea/api/project/flow/redirect?projectId=7295595741402890312&amp;newUrl=https://www.zcygov.cn/micro-app-back-index/blank?_flow_type_=agency&amp;_flow_projectId_=7295595741402890312&amp;_jump_page_type_=project_procurement_management_flow&amp;_app_=zcy.procurement&amp;oldUrl=https://www.zcygov.cn/project-center/_procurement_/project-result-detail/7295595741402890312" \t "https://www.zcygov.cn/project-center/_procurement_/self-project/_blank"</w:instrText>
      </w:r>
      <w:r>
        <w:fldChar w:fldCharType="separate"/>
      </w:r>
      <w:r>
        <w:rPr>
          <w:rFonts w:hint="eastAsia" w:ascii="宋体" w:hAnsi="宋体" w:cs="宋体"/>
          <w:sz w:val="24"/>
          <w:szCs w:val="24"/>
        </w:rPr>
        <w:t>采购计划-[2025]-01808号-1</w:t>
      </w:r>
      <w:r>
        <w:fldChar w:fldCharType="end"/>
      </w:r>
      <w:r>
        <w:rPr>
          <w:rFonts w:hint="eastAsia" w:ascii="宋体" w:hAnsi="宋体" w:cs="宋体"/>
          <w:sz w:val="24"/>
          <w:szCs w:val="24"/>
        </w:rPr>
        <w:tab/>
      </w:r>
    </w:p>
    <w:p w14:paraId="4E51E3D9">
      <w:pPr>
        <w:spacing w:line="360" w:lineRule="auto"/>
        <w:ind w:firstLine="480" w:firstLineChars="200"/>
        <w:rPr>
          <w:rFonts w:hint="eastAsia" w:ascii="宋体" w:hAnsi="宋体" w:cs="宋体"/>
          <w:sz w:val="24"/>
          <w:szCs w:val="24"/>
        </w:rPr>
      </w:pPr>
      <w:r>
        <w:rPr>
          <w:rFonts w:hint="eastAsia" w:ascii="宋体" w:hAnsi="宋体" w:cs="宋体"/>
          <w:sz w:val="24"/>
          <w:szCs w:val="24"/>
        </w:rPr>
        <w:t>项目名称：</w:t>
      </w:r>
      <w:bookmarkEnd w:id="4"/>
      <w:r>
        <w:rPr>
          <w:rFonts w:hint="eastAsia" w:ascii="宋体" w:hAnsi="宋体" w:cs="宋体"/>
          <w:sz w:val="24"/>
          <w:szCs w:val="24"/>
        </w:rPr>
        <w:t>新能源汽车综合应用实训室建设项目</w:t>
      </w:r>
    </w:p>
    <w:p w14:paraId="369EE8EE">
      <w:pPr>
        <w:spacing w:line="360" w:lineRule="auto"/>
        <w:ind w:firstLine="480" w:firstLineChars="200"/>
        <w:rPr>
          <w:rFonts w:hint="eastAsia" w:ascii="宋体" w:hAnsi="宋体" w:cs="宋体"/>
          <w:sz w:val="24"/>
          <w:szCs w:val="24"/>
        </w:rPr>
      </w:pPr>
      <w:r>
        <w:rPr>
          <w:rFonts w:hint="eastAsia" w:ascii="宋体" w:hAnsi="宋体" w:cs="宋体"/>
          <w:sz w:val="24"/>
          <w:szCs w:val="24"/>
        </w:rPr>
        <w:t>采购方式：公开招标</w:t>
      </w:r>
    </w:p>
    <w:p w14:paraId="095AB7EC">
      <w:pPr>
        <w:spacing w:line="360" w:lineRule="auto"/>
        <w:ind w:firstLine="480" w:firstLineChars="200"/>
        <w:rPr>
          <w:rFonts w:hint="eastAsia" w:ascii="宋体" w:hAnsi="宋体" w:cs="宋体"/>
          <w:sz w:val="24"/>
          <w:szCs w:val="24"/>
        </w:rPr>
      </w:pPr>
      <w:r>
        <w:rPr>
          <w:rFonts w:hint="eastAsia" w:ascii="宋体" w:hAnsi="宋体" w:cs="宋体"/>
          <w:sz w:val="24"/>
          <w:szCs w:val="24"/>
        </w:rPr>
        <w:t>预算金</w:t>
      </w:r>
      <w:r>
        <w:rPr>
          <w:rFonts w:hint="eastAsia" w:ascii="宋体" w:hAnsi="宋体" w:cs="宋体"/>
          <w:color w:val="000000" w:themeColor="text1"/>
          <w:sz w:val="24"/>
          <w:szCs w:val="24"/>
          <w14:textFill>
            <w14:solidFill>
              <w14:schemeClr w14:val="tx1"/>
            </w14:solidFill>
          </w14:textFill>
        </w:rPr>
        <w:t>额：人民币384万元</w:t>
      </w:r>
    </w:p>
    <w:p w14:paraId="784E9AD1">
      <w:pPr>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最高限价：</w:t>
      </w:r>
      <w:r>
        <w:rPr>
          <w:rFonts w:hint="eastAsia" w:ascii="宋体" w:hAnsi="宋体" w:cs="宋体"/>
          <w:color w:val="000000" w:themeColor="text1"/>
          <w:sz w:val="24"/>
          <w:szCs w:val="24"/>
          <w14:textFill>
            <w14:solidFill>
              <w14:schemeClr w14:val="tx1"/>
            </w14:solidFill>
          </w14:textFill>
        </w:rPr>
        <w:t>人民币384万元</w:t>
      </w:r>
      <w:r>
        <w:rPr>
          <w:rFonts w:hint="eastAsia" w:ascii="宋体" w:hAnsi="宋体" w:cs="宋体"/>
          <w:sz w:val="24"/>
          <w:szCs w:val="24"/>
        </w:rPr>
        <w:t>（投标报价超出最高限价视为废标）</w:t>
      </w:r>
    </w:p>
    <w:p w14:paraId="7A964C11">
      <w:pPr>
        <w:spacing w:line="360" w:lineRule="auto"/>
        <w:ind w:firstLine="480" w:firstLineChars="200"/>
        <w:rPr>
          <w:rFonts w:hint="eastAsia" w:ascii="宋体" w:hAnsi="宋体" w:cs="宋体"/>
          <w:sz w:val="24"/>
          <w:szCs w:val="24"/>
        </w:rPr>
      </w:pPr>
      <w:r>
        <w:rPr>
          <w:rFonts w:hint="eastAsia" w:ascii="宋体" w:hAnsi="宋体" w:cs="宋体"/>
          <w:sz w:val="24"/>
          <w:szCs w:val="24"/>
        </w:rPr>
        <w:t>采购需求：新能源汽车实训设备等</w:t>
      </w:r>
      <w:r>
        <w:rPr>
          <w:rFonts w:hint="eastAsia" w:ascii="宋体" w:hAnsi="宋体" w:cs="宋体"/>
          <w:sz w:val="24"/>
          <w:szCs w:val="24"/>
          <w:lang w:val="zh-CN"/>
        </w:rPr>
        <w:t>，</w:t>
      </w:r>
      <w:r>
        <w:rPr>
          <w:rFonts w:hint="eastAsia" w:ascii="宋体" w:hAnsi="宋体" w:cs="宋体"/>
          <w:sz w:val="24"/>
          <w:szCs w:val="24"/>
        </w:rPr>
        <w:t>具体</w:t>
      </w:r>
      <w:r>
        <w:rPr>
          <w:rFonts w:hint="eastAsia" w:ascii="宋体" w:hAnsi="宋体" w:cs="宋体"/>
          <w:sz w:val="24"/>
          <w:szCs w:val="24"/>
          <w:lang w:val="zh-CN"/>
        </w:rPr>
        <w:t>详见招标文件</w:t>
      </w:r>
    </w:p>
    <w:p w14:paraId="72F12A06">
      <w:pPr>
        <w:spacing w:line="360" w:lineRule="auto"/>
        <w:ind w:firstLine="480" w:firstLineChars="200"/>
        <w:rPr>
          <w:rFonts w:hint="eastAsia" w:ascii="宋体" w:hAnsi="宋体" w:cs="宋体"/>
          <w:color w:val="FF0000"/>
          <w:sz w:val="24"/>
          <w:szCs w:val="24"/>
        </w:rPr>
      </w:pPr>
      <w:r>
        <w:rPr>
          <w:rFonts w:hint="eastAsia" w:ascii="宋体" w:hAnsi="宋体" w:cs="宋体"/>
          <w:color w:val="000000"/>
          <w:sz w:val="24"/>
          <w:szCs w:val="24"/>
        </w:rPr>
        <w:t>合同履行</w:t>
      </w:r>
      <w:r>
        <w:rPr>
          <w:rFonts w:hint="eastAsia" w:ascii="宋体" w:hAnsi="宋体" w:cs="宋体"/>
          <w:sz w:val="24"/>
          <w:szCs w:val="24"/>
        </w:rPr>
        <w:t>期限（供货时间）：合同订立后45天</w:t>
      </w:r>
    </w:p>
    <w:p w14:paraId="28E62024">
      <w:pPr>
        <w:spacing w:line="360" w:lineRule="auto"/>
        <w:ind w:firstLine="480" w:firstLineChars="200"/>
        <w:rPr>
          <w:rFonts w:hint="eastAsia" w:ascii="宋体" w:hAnsi="宋体" w:cs="宋体"/>
          <w:sz w:val="24"/>
          <w:szCs w:val="24"/>
        </w:rPr>
      </w:pPr>
      <w:r>
        <w:rPr>
          <w:rFonts w:hint="eastAsia" w:ascii="宋体" w:hAnsi="宋体" w:cs="宋体"/>
          <w:sz w:val="24"/>
          <w:szCs w:val="24"/>
        </w:rPr>
        <w:t>本项目不接受联合体投标。</w:t>
      </w:r>
    </w:p>
    <w:p w14:paraId="1F6BD794">
      <w:pPr>
        <w:spacing w:line="360" w:lineRule="auto"/>
        <w:rPr>
          <w:rFonts w:hint="eastAsia" w:ascii="宋体" w:hAnsi="宋体" w:cs="宋体"/>
          <w:sz w:val="24"/>
          <w:szCs w:val="24"/>
        </w:rPr>
      </w:pPr>
      <w:bookmarkStart w:id="5" w:name="_Toc28359080"/>
      <w:bookmarkStart w:id="6" w:name="_Toc28359003"/>
      <w:r>
        <w:rPr>
          <w:rFonts w:hint="eastAsia" w:ascii="宋体" w:hAnsi="宋体" w:cs="宋体"/>
          <w:sz w:val="24"/>
          <w:szCs w:val="24"/>
        </w:rPr>
        <w:t>二、申请人的资格要求：</w:t>
      </w:r>
      <w:bookmarkEnd w:id="5"/>
      <w:bookmarkEnd w:id="6"/>
    </w:p>
    <w:p w14:paraId="0739FBB8">
      <w:pPr>
        <w:spacing w:line="360" w:lineRule="auto"/>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567A8919">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2、落实政府采购政策需满足的资格要求：本项目专门面向中小企业采购，详见招标文件。</w:t>
      </w:r>
    </w:p>
    <w:p w14:paraId="35EA7A52">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3、本项目的特定资格要求：</w:t>
      </w:r>
    </w:p>
    <w:p w14:paraId="7F636763">
      <w:pPr>
        <w:spacing w:line="360" w:lineRule="auto"/>
        <w:ind w:firstLine="480" w:firstLineChars="200"/>
        <w:rPr>
          <w:rFonts w:hint="eastAsia" w:ascii="宋体" w:hAnsi="宋体" w:cs="宋体"/>
          <w:sz w:val="24"/>
          <w:szCs w:val="24"/>
        </w:rPr>
      </w:pPr>
      <w:r>
        <w:rPr>
          <w:rFonts w:hint="eastAsia" w:ascii="宋体" w:hAnsi="宋体" w:cs="宋体"/>
          <w:sz w:val="24"/>
          <w:szCs w:val="24"/>
        </w:rPr>
        <w:t>3.1投标人须是在中华人民共和国境内注册，能够独立承担民事责任的法人或其他组织形式；</w:t>
      </w:r>
    </w:p>
    <w:p w14:paraId="23824BBC">
      <w:pPr>
        <w:spacing w:line="360" w:lineRule="auto"/>
        <w:ind w:firstLine="480" w:firstLineChars="200"/>
        <w:rPr>
          <w:rFonts w:hint="eastAsia" w:ascii="宋体" w:hAnsi="宋体" w:cs="宋体"/>
          <w:sz w:val="24"/>
          <w:szCs w:val="24"/>
        </w:rPr>
      </w:pPr>
      <w:r>
        <w:rPr>
          <w:rFonts w:hint="eastAsia" w:ascii="宋体" w:hAnsi="宋体" w:cs="宋体"/>
          <w:sz w:val="24"/>
          <w:szCs w:val="24"/>
        </w:rPr>
        <w:t>3.2具有良好的商业信誉和健全的财务</w:t>
      </w:r>
      <w:r>
        <w:fldChar w:fldCharType="begin"/>
      </w:r>
      <w:r>
        <w:instrText xml:space="preserve">HYPERLINK "https://baike.so.com/doc/388251-411081.html" \t "_blank"</w:instrText>
      </w:r>
      <w:r>
        <w:fldChar w:fldCharType="separate"/>
      </w:r>
      <w:r>
        <w:rPr>
          <w:rFonts w:hint="eastAsia" w:ascii="宋体" w:hAnsi="宋体" w:cs="宋体"/>
          <w:sz w:val="24"/>
          <w:szCs w:val="24"/>
        </w:rPr>
        <w:t>会计制度</w:t>
      </w:r>
      <w:r>
        <w:fldChar w:fldCharType="end"/>
      </w:r>
      <w:r>
        <w:rPr>
          <w:rFonts w:hint="eastAsia" w:ascii="宋体" w:hAnsi="宋体" w:cs="宋体"/>
          <w:sz w:val="24"/>
          <w:szCs w:val="24"/>
        </w:rPr>
        <w:t>，提供经第三方会计师事务所审计的2023年完整有效的企业财务审计报告或提供其基本开户银行在投标截止日前，六个月内出具的资信证明（银行出具的存款证明不能替代银行资信证明）；</w:t>
      </w:r>
    </w:p>
    <w:p w14:paraId="58A02E0F">
      <w:pPr>
        <w:spacing w:line="360" w:lineRule="auto"/>
        <w:ind w:firstLine="480" w:firstLineChars="200"/>
        <w:rPr>
          <w:rFonts w:hint="eastAsia" w:ascii="宋体" w:hAnsi="宋体" w:cs="宋体"/>
          <w:sz w:val="24"/>
          <w:szCs w:val="24"/>
        </w:rPr>
      </w:pPr>
      <w:r>
        <w:rPr>
          <w:rFonts w:hint="eastAsia" w:ascii="宋体" w:hAnsi="宋体" w:cs="宋体"/>
          <w:sz w:val="24"/>
          <w:szCs w:val="24"/>
        </w:rPr>
        <w:t>3.3具有履行合同所必需的设备和专业技术能力；</w:t>
      </w:r>
    </w:p>
    <w:p w14:paraId="1413C939">
      <w:pPr>
        <w:spacing w:line="360" w:lineRule="auto"/>
        <w:ind w:firstLine="480" w:firstLineChars="200"/>
        <w:rPr>
          <w:rFonts w:hint="eastAsia" w:ascii="宋体" w:hAnsi="宋体" w:cs="宋体"/>
          <w:sz w:val="24"/>
          <w:szCs w:val="24"/>
        </w:rPr>
      </w:pPr>
      <w:r>
        <w:rPr>
          <w:rFonts w:hint="eastAsia" w:ascii="宋体" w:hAnsi="宋体" w:cs="宋体"/>
          <w:sz w:val="24"/>
          <w:szCs w:val="24"/>
        </w:rPr>
        <w:t>3.4依法缴纳税收的良好记录，提供投标截止日前，一年内任一月份的缴税凭据或完税证明等；依法免税的，应提供相应文件证明其依法免税；</w:t>
      </w:r>
    </w:p>
    <w:p w14:paraId="561B4607">
      <w:pPr>
        <w:spacing w:line="360" w:lineRule="auto"/>
        <w:ind w:firstLine="480" w:firstLineChars="200"/>
        <w:rPr>
          <w:rFonts w:hint="eastAsia" w:ascii="宋体" w:hAnsi="宋体" w:cs="宋体"/>
          <w:sz w:val="24"/>
          <w:szCs w:val="24"/>
        </w:rPr>
      </w:pPr>
      <w:r>
        <w:rPr>
          <w:rFonts w:hint="eastAsia" w:ascii="宋体" w:hAnsi="宋体" w:cs="宋体"/>
          <w:sz w:val="24"/>
          <w:szCs w:val="24"/>
        </w:rPr>
        <w:t>3.5依法缴纳社会保障资金的良好记录，提供投标截止日前，一年内任一月份缴纳社会保险的凭据；依法不需要缴纳社会保险的，应提供相应文件证明其依法不需要缴纳社会保险；</w:t>
      </w:r>
    </w:p>
    <w:p w14:paraId="6F5A6ED4">
      <w:pPr>
        <w:spacing w:line="360" w:lineRule="auto"/>
        <w:ind w:firstLine="480" w:firstLineChars="200"/>
        <w:rPr>
          <w:rFonts w:hint="eastAsia" w:ascii="宋体" w:hAnsi="宋体" w:cs="宋体"/>
          <w:sz w:val="24"/>
          <w:szCs w:val="24"/>
        </w:rPr>
      </w:pPr>
      <w:r>
        <w:rPr>
          <w:rFonts w:hint="eastAsia" w:ascii="宋体" w:hAnsi="宋体" w:cs="宋体"/>
          <w:sz w:val="24"/>
          <w:szCs w:val="24"/>
        </w:rPr>
        <w:t>3.6参加政府采购活动前三年内，在经营活动中没有重大违法记录；</w:t>
      </w:r>
    </w:p>
    <w:p w14:paraId="7B5AB79E">
      <w:pPr>
        <w:spacing w:line="360" w:lineRule="auto"/>
        <w:ind w:firstLine="480" w:firstLineChars="200"/>
        <w:rPr>
          <w:rFonts w:hint="eastAsia" w:ascii="宋体" w:hAnsi="宋体" w:cs="宋体"/>
          <w:sz w:val="24"/>
          <w:szCs w:val="24"/>
        </w:rPr>
      </w:pPr>
      <w:r>
        <w:rPr>
          <w:rFonts w:hint="eastAsia" w:ascii="宋体" w:hAnsi="宋体" w:cs="宋体"/>
          <w:sz w:val="24"/>
          <w:szCs w:val="24"/>
        </w:rPr>
        <w:t>3.7拒绝列入政府取消投标资格记录期间的企业或个人投标；</w:t>
      </w:r>
    </w:p>
    <w:p w14:paraId="62432B4C">
      <w:pPr>
        <w:spacing w:line="360" w:lineRule="auto"/>
        <w:ind w:firstLine="480" w:firstLineChars="200"/>
        <w:rPr>
          <w:rFonts w:hint="eastAsia" w:ascii="宋体" w:hAnsi="宋体" w:cs="宋体"/>
          <w:sz w:val="24"/>
          <w:szCs w:val="24"/>
        </w:rPr>
      </w:pPr>
      <w:r>
        <w:rPr>
          <w:rFonts w:hint="eastAsia" w:ascii="宋体" w:hAnsi="宋体" w:cs="宋体"/>
          <w:sz w:val="24"/>
          <w:szCs w:val="24"/>
        </w:rPr>
        <w:t>3.8投标人不能列入失信被执行人、重大税收违法失信主体、政府采购严重违法失信行为记录名单，查询请依据财库【2016】125号文件。</w:t>
      </w:r>
    </w:p>
    <w:p w14:paraId="45E0E909">
      <w:pPr>
        <w:spacing w:line="360" w:lineRule="auto"/>
        <w:ind w:firstLine="480" w:firstLineChars="200"/>
        <w:rPr>
          <w:rFonts w:hint="eastAsia" w:ascii="宋体" w:hAnsi="宋体" w:cs="宋体"/>
          <w:sz w:val="24"/>
          <w:szCs w:val="24"/>
        </w:rPr>
      </w:pPr>
      <w:r>
        <w:rPr>
          <w:rFonts w:hint="eastAsia" w:ascii="宋体" w:hAnsi="宋体" w:cs="宋体"/>
          <w:sz w:val="24"/>
          <w:szCs w:val="24"/>
        </w:rPr>
        <w:t>3.9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应当被否决。</w:t>
      </w:r>
    </w:p>
    <w:p w14:paraId="6058E3B9">
      <w:pPr>
        <w:spacing w:line="360" w:lineRule="auto"/>
        <w:rPr>
          <w:rFonts w:hint="eastAsia" w:ascii="宋体" w:hAnsi="宋体" w:cs="宋体"/>
          <w:sz w:val="24"/>
          <w:szCs w:val="24"/>
        </w:rPr>
      </w:pPr>
      <w:r>
        <w:rPr>
          <w:rFonts w:hint="eastAsia" w:ascii="宋体" w:hAnsi="宋体" w:cs="宋体"/>
          <w:sz w:val="24"/>
          <w:szCs w:val="24"/>
        </w:rPr>
        <w:t>三、获取招标文件：</w:t>
      </w:r>
    </w:p>
    <w:p w14:paraId="4D2507CC">
      <w:pPr>
        <w:spacing w:line="360" w:lineRule="auto"/>
        <w:ind w:firstLine="480" w:firstLineChars="200"/>
        <w:rPr>
          <w:rFonts w:hint="eastAsia" w:ascii="宋体" w:hAnsi="宋体" w:cs="宋体"/>
          <w:sz w:val="24"/>
          <w:szCs w:val="24"/>
          <w:u w:val="single"/>
        </w:rPr>
      </w:pPr>
      <w:r>
        <w:rPr>
          <w:rFonts w:hint="eastAsia" w:ascii="宋体" w:hAnsi="宋体" w:cs="宋体"/>
          <w:sz w:val="24"/>
          <w:szCs w:val="24"/>
        </w:rPr>
        <w:t>时间：2025年3月31日至2025年4月8日，每天00时至23时59分（北京时间）</w:t>
      </w:r>
    </w:p>
    <w:p w14:paraId="20A903EA">
      <w:pPr>
        <w:spacing w:line="360" w:lineRule="auto"/>
        <w:ind w:firstLine="480" w:firstLineChars="200"/>
        <w:rPr>
          <w:rFonts w:hint="eastAsia" w:ascii="宋体" w:hAnsi="宋体" w:cs="宋体"/>
          <w:sz w:val="24"/>
          <w:szCs w:val="24"/>
        </w:rPr>
      </w:pPr>
      <w:r>
        <w:rPr>
          <w:rFonts w:hint="eastAsia" w:ascii="宋体" w:hAnsi="宋体" w:cs="宋体"/>
          <w:sz w:val="24"/>
          <w:szCs w:val="24"/>
        </w:rPr>
        <w:t>地点：供应商登录“政采云”平台（https://www.zcygov.cn/）在线申请获取采购文件</w:t>
      </w:r>
    </w:p>
    <w:p w14:paraId="0F07E394">
      <w:pPr>
        <w:spacing w:line="360" w:lineRule="auto"/>
        <w:ind w:firstLine="480" w:firstLineChars="200"/>
        <w:rPr>
          <w:rFonts w:hint="eastAsia" w:ascii="宋体" w:hAnsi="宋体" w:cs="宋体"/>
          <w:sz w:val="24"/>
          <w:szCs w:val="24"/>
        </w:rPr>
      </w:pPr>
      <w:r>
        <w:rPr>
          <w:rFonts w:hint="eastAsia" w:ascii="宋体" w:hAnsi="宋体" w:cs="宋体"/>
          <w:sz w:val="24"/>
          <w:szCs w:val="24"/>
        </w:rPr>
        <w:t>方式：本次采购实行电子化采购，供应商自行登录政府采购云平台，网上注册并下载采购文件(https://middle.zcygov.cn/v-settle-front/registry)。操作路径：登录政府采购云平台-项目采购-获取采购文件-本次采购项目-申请获取采购文件。电子响应文件制作应基于政府采购云平台获取的采购文件编制，其他途径获取的采购文件一律按无效处理。</w:t>
      </w:r>
    </w:p>
    <w:p w14:paraId="3CB267C1">
      <w:pPr>
        <w:spacing w:line="360" w:lineRule="auto"/>
        <w:ind w:firstLine="480" w:firstLineChars="200"/>
        <w:rPr>
          <w:rFonts w:hint="eastAsia" w:ascii="宋体" w:hAnsi="宋体" w:cs="宋体"/>
          <w:sz w:val="24"/>
          <w:szCs w:val="24"/>
        </w:rPr>
      </w:pPr>
      <w:r>
        <w:rPr>
          <w:rFonts w:hint="eastAsia" w:ascii="宋体" w:hAnsi="宋体" w:cs="宋体"/>
          <w:sz w:val="24"/>
          <w:szCs w:val="24"/>
        </w:rPr>
        <w:t>售价：0元/份</w:t>
      </w:r>
    </w:p>
    <w:p w14:paraId="2343196D">
      <w:pPr>
        <w:spacing w:line="360" w:lineRule="auto"/>
        <w:rPr>
          <w:rFonts w:hint="eastAsia" w:ascii="宋体" w:hAnsi="宋体" w:cs="宋体"/>
          <w:sz w:val="24"/>
          <w:szCs w:val="24"/>
        </w:rPr>
      </w:pPr>
      <w:bookmarkStart w:id="7" w:name="_Toc28359082"/>
      <w:bookmarkStart w:id="8" w:name="_Toc28359005"/>
      <w:r>
        <w:rPr>
          <w:rFonts w:hint="eastAsia" w:ascii="宋体" w:hAnsi="宋体" w:cs="宋体"/>
          <w:sz w:val="24"/>
          <w:szCs w:val="24"/>
        </w:rPr>
        <w:t>四、提交投标文件</w:t>
      </w:r>
      <w:bookmarkEnd w:id="7"/>
      <w:bookmarkEnd w:id="8"/>
      <w:r>
        <w:rPr>
          <w:rFonts w:hint="eastAsia" w:ascii="宋体" w:hAnsi="宋体" w:cs="宋体"/>
          <w:sz w:val="24"/>
          <w:szCs w:val="24"/>
        </w:rPr>
        <w:t>截止时间、开标时间和地点</w:t>
      </w:r>
    </w:p>
    <w:p w14:paraId="60333AEB">
      <w:pPr>
        <w:spacing w:line="360" w:lineRule="auto"/>
        <w:ind w:firstLine="480" w:firstLineChars="200"/>
        <w:rPr>
          <w:rFonts w:hint="eastAsia" w:ascii="宋体" w:hAnsi="宋体" w:cs="宋体"/>
          <w:sz w:val="24"/>
          <w:szCs w:val="24"/>
        </w:rPr>
      </w:pPr>
      <w:r>
        <w:rPr>
          <w:rFonts w:hint="eastAsia" w:ascii="宋体" w:hAnsi="宋体" w:cs="宋体"/>
          <w:sz w:val="24"/>
          <w:szCs w:val="24"/>
        </w:rPr>
        <w:t>时间：</w:t>
      </w:r>
      <w:r>
        <w:rPr>
          <w:rFonts w:hint="eastAsia" w:ascii="宋体" w:hAnsi="宋体" w:cs="宋体"/>
          <w:bCs/>
          <w:color w:val="000000"/>
          <w:sz w:val="24"/>
          <w:szCs w:val="24"/>
          <w:highlight w:val="none"/>
        </w:rPr>
        <w:t>2025年</w:t>
      </w:r>
      <w:r>
        <w:rPr>
          <w:rFonts w:hint="eastAsia" w:ascii="宋体" w:hAnsi="宋体" w:cs="宋体"/>
          <w:bCs/>
          <w:color w:val="000000"/>
          <w:sz w:val="24"/>
          <w:szCs w:val="24"/>
          <w:highlight w:val="none"/>
          <w:lang w:val="en-US" w:eastAsia="zh-CN"/>
        </w:rPr>
        <w:t>5</w:t>
      </w:r>
      <w:r>
        <w:rPr>
          <w:rFonts w:hint="eastAsia" w:ascii="宋体" w:hAnsi="宋体" w:cs="宋体"/>
          <w:bCs/>
          <w:color w:val="000000"/>
          <w:sz w:val="24"/>
          <w:szCs w:val="24"/>
          <w:highlight w:val="none"/>
        </w:rPr>
        <w:t>月</w:t>
      </w:r>
      <w:r>
        <w:rPr>
          <w:rFonts w:hint="eastAsia" w:ascii="宋体" w:hAnsi="宋体" w:cs="宋体"/>
          <w:bCs/>
          <w:color w:val="000000"/>
          <w:sz w:val="24"/>
          <w:szCs w:val="24"/>
          <w:highlight w:val="none"/>
          <w:lang w:val="en-US" w:eastAsia="zh-CN"/>
        </w:rPr>
        <w:t>9</w:t>
      </w:r>
      <w:r>
        <w:rPr>
          <w:rFonts w:hint="eastAsia" w:ascii="宋体" w:hAnsi="宋体" w:cs="宋体"/>
          <w:bCs/>
          <w:color w:val="000000"/>
          <w:sz w:val="24"/>
          <w:szCs w:val="24"/>
          <w:highlight w:val="none"/>
        </w:rPr>
        <w:t>日</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时</w:t>
      </w:r>
      <w:r>
        <w:rPr>
          <w:rFonts w:hint="eastAsia" w:ascii="宋体" w:hAnsi="宋体" w:cs="宋体"/>
          <w:bCs/>
          <w:color w:val="000000"/>
          <w:sz w:val="24"/>
          <w:szCs w:val="24"/>
          <w:highlight w:val="none"/>
          <w:lang w:val="en-US" w:eastAsia="zh-CN"/>
        </w:rPr>
        <w:t>0</w:t>
      </w:r>
      <w:r>
        <w:rPr>
          <w:rFonts w:hint="eastAsia" w:ascii="宋体" w:hAnsi="宋体" w:cs="宋体"/>
          <w:bCs/>
          <w:color w:val="000000"/>
          <w:sz w:val="24"/>
          <w:szCs w:val="24"/>
          <w:highlight w:val="none"/>
        </w:rPr>
        <w:t>0分</w:t>
      </w:r>
      <w:r>
        <w:rPr>
          <w:rFonts w:hint="eastAsia" w:ascii="宋体" w:hAnsi="宋体" w:cs="宋体"/>
          <w:sz w:val="24"/>
          <w:szCs w:val="24"/>
        </w:rPr>
        <w:t>（北京时间）</w:t>
      </w:r>
    </w:p>
    <w:p w14:paraId="28683EC9">
      <w:pPr>
        <w:spacing w:line="360" w:lineRule="auto"/>
        <w:ind w:firstLine="480" w:firstLineChars="200"/>
        <w:rPr>
          <w:rFonts w:hint="eastAsia" w:ascii="宋体" w:hAnsi="宋体" w:cs="宋体"/>
          <w:sz w:val="24"/>
          <w:szCs w:val="24"/>
          <w:highlight w:val="cyan"/>
        </w:rPr>
      </w:pPr>
      <w:r>
        <w:rPr>
          <w:rFonts w:hint="eastAsia" w:ascii="宋体" w:hAnsi="宋体" w:cs="宋体"/>
          <w:sz w:val="24"/>
          <w:szCs w:val="24"/>
        </w:rPr>
        <w:t>地点：长春市二道区洋浦大街6999号凯利中心AB栋一楼开标2室（长春市同晟科技有限公司）</w:t>
      </w:r>
    </w:p>
    <w:p w14:paraId="423D70B3">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提交方式</w:t>
      </w:r>
      <w:r>
        <w:rPr>
          <w:rFonts w:hint="eastAsia" w:ascii="宋体" w:hAnsi="宋体" w:cs="宋体"/>
          <w:sz w:val="24"/>
          <w:szCs w:val="24"/>
        </w:rPr>
        <w:t>：</w:t>
      </w:r>
      <w:r>
        <w:rPr>
          <w:rFonts w:hint="eastAsia" w:ascii="宋体" w:hAnsi="宋体" w:cs="宋体"/>
          <w:sz w:val="24"/>
          <w:szCs w:val="24"/>
          <w:lang w:val="zh-CN"/>
        </w:rPr>
        <w:t>本项目为全流程电子化项目</w:t>
      </w:r>
      <w:r>
        <w:rPr>
          <w:rFonts w:hint="eastAsia" w:ascii="宋体" w:hAnsi="宋体" w:cs="宋体"/>
          <w:sz w:val="24"/>
          <w:szCs w:val="24"/>
        </w:rPr>
        <w:t>，</w:t>
      </w:r>
      <w:r>
        <w:rPr>
          <w:rFonts w:hint="eastAsia" w:ascii="宋体" w:hAnsi="宋体" w:cs="宋体"/>
          <w:sz w:val="24"/>
          <w:szCs w:val="24"/>
          <w:lang w:val="zh-CN"/>
        </w:rPr>
        <w:t>通过</w:t>
      </w:r>
      <w:r>
        <w:rPr>
          <w:rFonts w:hint="eastAsia" w:ascii="宋体" w:hAnsi="宋体" w:cs="宋体"/>
          <w:sz w:val="24"/>
          <w:szCs w:val="24"/>
        </w:rPr>
        <w:t>“</w:t>
      </w:r>
      <w:r>
        <w:rPr>
          <w:rFonts w:hint="eastAsia" w:ascii="宋体" w:hAnsi="宋体" w:cs="宋体"/>
          <w:sz w:val="24"/>
          <w:szCs w:val="24"/>
          <w:lang w:val="zh-CN"/>
        </w:rPr>
        <w:t>政采云</w:t>
      </w:r>
      <w:r>
        <w:rPr>
          <w:rFonts w:hint="eastAsia" w:ascii="宋体" w:hAnsi="宋体" w:cs="宋体"/>
          <w:sz w:val="24"/>
          <w:szCs w:val="24"/>
        </w:rPr>
        <w:t>”</w:t>
      </w:r>
      <w:r>
        <w:rPr>
          <w:rFonts w:hint="eastAsia" w:ascii="宋体" w:hAnsi="宋体" w:cs="宋体"/>
          <w:sz w:val="24"/>
          <w:szCs w:val="24"/>
          <w:lang w:val="zh-CN"/>
        </w:rPr>
        <w:t>平台</w:t>
      </w:r>
      <w:r>
        <w:rPr>
          <w:rFonts w:hint="eastAsia" w:ascii="宋体" w:hAnsi="宋体" w:cs="宋体"/>
          <w:sz w:val="24"/>
          <w:szCs w:val="24"/>
        </w:rPr>
        <w:t>（http：//www.zcygov.cn）</w:t>
      </w:r>
      <w:r>
        <w:rPr>
          <w:rFonts w:hint="eastAsia" w:ascii="宋体" w:hAnsi="宋体" w:cs="宋体"/>
          <w:sz w:val="24"/>
          <w:szCs w:val="24"/>
          <w:lang w:val="zh-CN"/>
        </w:rPr>
        <w:t>实行在线电子投标</w:t>
      </w:r>
      <w:r>
        <w:rPr>
          <w:rFonts w:hint="eastAsia" w:ascii="宋体" w:hAnsi="宋体" w:cs="宋体"/>
          <w:sz w:val="24"/>
          <w:szCs w:val="24"/>
        </w:rPr>
        <w:t>，</w:t>
      </w:r>
      <w:r>
        <w:rPr>
          <w:rFonts w:hint="eastAsia" w:ascii="宋体" w:hAnsi="宋体" w:cs="宋体"/>
          <w:sz w:val="24"/>
          <w:szCs w:val="24"/>
          <w:lang w:val="zh-CN"/>
        </w:rPr>
        <w:t>投标人应先安装</w:t>
      </w:r>
      <w:r>
        <w:rPr>
          <w:rFonts w:hint="eastAsia" w:ascii="宋体" w:hAnsi="宋体" w:cs="宋体"/>
          <w:sz w:val="24"/>
          <w:szCs w:val="24"/>
        </w:rPr>
        <w:t>“</w:t>
      </w:r>
      <w:r>
        <w:rPr>
          <w:rFonts w:hint="eastAsia" w:ascii="宋体" w:hAnsi="宋体" w:cs="宋体"/>
          <w:sz w:val="24"/>
          <w:szCs w:val="24"/>
          <w:lang w:val="zh-CN"/>
        </w:rPr>
        <w:t>政采云投标客户端</w:t>
      </w:r>
      <w:r>
        <w:rPr>
          <w:rFonts w:hint="eastAsia" w:ascii="宋体" w:hAnsi="宋体" w:cs="宋体"/>
          <w:sz w:val="24"/>
          <w:szCs w:val="24"/>
        </w:rPr>
        <w:t>”（</w:t>
      </w:r>
      <w:r>
        <w:rPr>
          <w:rFonts w:hint="eastAsia" w:ascii="宋体" w:hAnsi="宋体" w:cs="宋体"/>
          <w:sz w:val="24"/>
          <w:szCs w:val="24"/>
          <w:lang w:val="zh-CN"/>
        </w:rPr>
        <w:t>请自行前往</w:t>
      </w:r>
      <w:r>
        <w:rPr>
          <w:rFonts w:hint="eastAsia" w:ascii="宋体" w:hAnsi="宋体" w:cs="宋体"/>
          <w:sz w:val="24"/>
          <w:szCs w:val="24"/>
        </w:rPr>
        <w:t>“</w:t>
      </w:r>
      <w:r>
        <w:rPr>
          <w:rFonts w:hint="eastAsia" w:ascii="宋体" w:hAnsi="宋体" w:cs="宋体"/>
          <w:sz w:val="24"/>
          <w:szCs w:val="24"/>
          <w:lang w:val="zh-CN"/>
        </w:rPr>
        <w:t>政采云</w:t>
      </w:r>
      <w:r>
        <w:rPr>
          <w:rFonts w:hint="eastAsia" w:ascii="宋体" w:hAnsi="宋体" w:cs="宋体"/>
          <w:sz w:val="24"/>
          <w:szCs w:val="24"/>
        </w:rPr>
        <w:t>”</w:t>
      </w:r>
      <w:r>
        <w:rPr>
          <w:rFonts w:hint="eastAsia" w:ascii="宋体" w:hAnsi="宋体" w:cs="宋体"/>
          <w:sz w:val="24"/>
          <w:szCs w:val="24"/>
          <w:lang w:val="zh-CN"/>
        </w:rPr>
        <w:t>平台进行下载</w:t>
      </w:r>
      <w:r>
        <w:rPr>
          <w:rFonts w:hint="eastAsia" w:ascii="宋体" w:hAnsi="宋体" w:cs="宋体"/>
          <w:sz w:val="24"/>
          <w:szCs w:val="24"/>
        </w:rPr>
        <w:t>），</w:t>
      </w:r>
      <w:r>
        <w:rPr>
          <w:rFonts w:hint="eastAsia" w:ascii="宋体" w:hAnsi="宋体" w:cs="宋体"/>
          <w:sz w:val="24"/>
          <w:szCs w:val="24"/>
          <w:lang w:val="zh-CN"/>
        </w:rPr>
        <w:t>并按照本项目采购文件和</w:t>
      </w:r>
      <w:r>
        <w:rPr>
          <w:rFonts w:hint="eastAsia" w:ascii="宋体" w:hAnsi="宋体" w:cs="宋体"/>
          <w:sz w:val="24"/>
          <w:szCs w:val="24"/>
        </w:rPr>
        <w:t>“</w:t>
      </w:r>
      <w:r>
        <w:rPr>
          <w:rFonts w:hint="eastAsia" w:ascii="宋体" w:hAnsi="宋体" w:cs="宋体"/>
          <w:sz w:val="24"/>
          <w:szCs w:val="24"/>
          <w:lang w:val="zh-CN"/>
        </w:rPr>
        <w:t>政采云</w:t>
      </w:r>
      <w:r>
        <w:rPr>
          <w:rFonts w:hint="eastAsia" w:ascii="宋体" w:hAnsi="宋体" w:cs="宋体"/>
          <w:sz w:val="24"/>
          <w:szCs w:val="24"/>
        </w:rPr>
        <w:t>”</w:t>
      </w:r>
      <w:r>
        <w:rPr>
          <w:rFonts w:hint="eastAsia" w:ascii="宋体" w:hAnsi="宋体" w:cs="宋体"/>
          <w:sz w:val="24"/>
          <w:szCs w:val="24"/>
          <w:lang w:val="zh-CN"/>
        </w:rPr>
        <w:t>平台的要求编制、加密后在投标文件截止时间前通过网络上传至</w:t>
      </w:r>
      <w:r>
        <w:rPr>
          <w:rFonts w:hint="eastAsia" w:ascii="宋体" w:hAnsi="宋体" w:cs="宋体"/>
          <w:sz w:val="24"/>
          <w:szCs w:val="24"/>
        </w:rPr>
        <w:t>“</w:t>
      </w:r>
      <w:r>
        <w:rPr>
          <w:rFonts w:hint="eastAsia" w:ascii="宋体" w:hAnsi="宋体" w:cs="宋体"/>
          <w:sz w:val="24"/>
          <w:szCs w:val="24"/>
          <w:lang w:val="zh-CN"/>
        </w:rPr>
        <w:t>政采云</w:t>
      </w:r>
      <w:r>
        <w:rPr>
          <w:rFonts w:hint="eastAsia" w:ascii="宋体" w:hAnsi="宋体" w:cs="宋体"/>
          <w:sz w:val="24"/>
          <w:szCs w:val="24"/>
        </w:rPr>
        <w:t>”</w:t>
      </w:r>
      <w:r>
        <w:rPr>
          <w:rFonts w:hint="eastAsia" w:ascii="宋体" w:hAnsi="宋体" w:cs="宋体"/>
          <w:sz w:val="24"/>
          <w:szCs w:val="24"/>
          <w:lang w:val="zh-CN"/>
        </w:rPr>
        <w:t>平台</w:t>
      </w:r>
      <w:r>
        <w:rPr>
          <w:rFonts w:hint="eastAsia" w:ascii="宋体" w:hAnsi="宋体" w:cs="宋体"/>
          <w:sz w:val="24"/>
          <w:szCs w:val="24"/>
        </w:rPr>
        <w:t>，</w:t>
      </w:r>
      <w:r>
        <w:rPr>
          <w:rFonts w:hint="eastAsia" w:ascii="宋体" w:hAnsi="宋体" w:cs="宋体"/>
          <w:sz w:val="24"/>
          <w:szCs w:val="24"/>
          <w:lang w:val="zh-CN"/>
        </w:rPr>
        <w:t>投标人在</w:t>
      </w:r>
      <w:r>
        <w:rPr>
          <w:rFonts w:hint="eastAsia" w:ascii="宋体" w:hAnsi="宋体" w:cs="宋体"/>
          <w:sz w:val="24"/>
          <w:szCs w:val="24"/>
        </w:rPr>
        <w:t>“</w:t>
      </w:r>
      <w:r>
        <w:rPr>
          <w:rFonts w:hint="eastAsia" w:ascii="宋体" w:hAnsi="宋体" w:cs="宋体"/>
          <w:sz w:val="24"/>
          <w:szCs w:val="24"/>
          <w:lang w:val="zh-CN"/>
        </w:rPr>
        <w:t>政采云</w:t>
      </w:r>
      <w:r>
        <w:rPr>
          <w:rFonts w:hint="eastAsia" w:ascii="宋体" w:hAnsi="宋体" w:cs="宋体"/>
          <w:sz w:val="24"/>
          <w:szCs w:val="24"/>
        </w:rPr>
        <w:t>”</w:t>
      </w:r>
      <w:r>
        <w:rPr>
          <w:rFonts w:hint="eastAsia" w:ascii="宋体" w:hAnsi="宋体" w:cs="宋体"/>
          <w:sz w:val="24"/>
          <w:szCs w:val="24"/>
          <w:lang w:val="zh-CN"/>
        </w:rPr>
        <w:t>平台提交电子版投标文件时</w:t>
      </w:r>
      <w:r>
        <w:rPr>
          <w:rFonts w:hint="eastAsia" w:ascii="宋体" w:hAnsi="宋体" w:cs="宋体"/>
          <w:sz w:val="24"/>
          <w:szCs w:val="24"/>
        </w:rPr>
        <w:t>，</w:t>
      </w:r>
      <w:r>
        <w:rPr>
          <w:rFonts w:hint="eastAsia" w:ascii="宋体" w:hAnsi="宋体" w:cs="宋体"/>
          <w:sz w:val="24"/>
          <w:szCs w:val="24"/>
          <w:lang w:val="zh-CN"/>
        </w:rPr>
        <w:t>请填写参加采购活动经办人联系方式。电子投标文件解密期限及方式：开启时间后30分钟内，由投标人持制作该电子投标文件的同一数字证书（CA锁）及电脑进行远程解密（各投标人在开标前及网上开评标系统公布投标人名单前，不要提前进行远程解密）。</w:t>
      </w:r>
    </w:p>
    <w:p w14:paraId="4A194809">
      <w:pPr>
        <w:spacing w:line="360" w:lineRule="auto"/>
        <w:rPr>
          <w:rFonts w:hint="eastAsia" w:ascii="宋体" w:hAnsi="宋体" w:cs="宋体"/>
          <w:sz w:val="24"/>
          <w:szCs w:val="24"/>
        </w:rPr>
      </w:pPr>
      <w:bookmarkStart w:id="9" w:name="_Toc28359007"/>
      <w:bookmarkStart w:id="10" w:name="_Toc28359084"/>
      <w:r>
        <w:rPr>
          <w:rFonts w:hint="eastAsia" w:ascii="宋体" w:hAnsi="宋体" w:cs="宋体"/>
          <w:sz w:val="24"/>
          <w:szCs w:val="24"/>
        </w:rPr>
        <w:t>五、公告期限</w:t>
      </w:r>
      <w:bookmarkEnd w:id="9"/>
      <w:bookmarkEnd w:id="10"/>
    </w:p>
    <w:p w14:paraId="46ED6646">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自本公告发布之日起5个工作日。</w:t>
      </w:r>
    </w:p>
    <w:p w14:paraId="1C795F94">
      <w:pPr>
        <w:spacing w:line="360" w:lineRule="auto"/>
        <w:rPr>
          <w:rFonts w:hint="eastAsia" w:ascii="宋体" w:hAnsi="宋体" w:cs="宋体"/>
          <w:sz w:val="24"/>
          <w:szCs w:val="24"/>
        </w:rPr>
      </w:pPr>
      <w:r>
        <w:rPr>
          <w:rFonts w:hint="eastAsia" w:ascii="宋体" w:hAnsi="宋体" w:cs="宋体"/>
          <w:sz w:val="24"/>
          <w:szCs w:val="24"/>
        </w:rPr>
        <w:t>六、其他补充事宜：</w:t>
      </w:r>
    </w:p>
    <w:p w14:paraId="77546390">
      <w:pPr>
        <w:spacing w:line="360" w:lineRule="auto"/>
        <w:ind w:firstLine="480" w:firstLineChars="200"/>
        <w:rPr>
          <w:rFonts w:hint="eastAsia" w:ascii="宋体" w:hAnsi="宋体" w:cs="宋体"/>
          <w:sz w:val="24"/>
          <w:szCs w:val="24"/>
        </w:rPr>
      </w:pPr>
      <w:bookmarkStart w:id="11" w:name="_Toc28359008"/>
      <w:bookmarkStart w:id="12" w:name="_Toc28359085"/>
      <w:r>
        <w:rPr>
          <w:rFonts w:hint="eastAsia" w:ascii="宋体" w:hAnsi="宋体" w:cs="宋体"/>
          <w:sz w:val="24"/>
          <w:szCs w:val="24"/>
        </w:rPr>
        <w:t>1、采购公告发布媒介：吉林省政府采购网、同步推送至吉林省公共资源交易公共服务平台和中国政府采购网、吉林工程职业学院官网。</w:t>
      </w:r>
    </w:p>
    <w:p w14:paraId="7B7C915B">
      <w:pPr>
        <w:spacing w:line="360" w:lineRule="auto"/>
        <w:rPr>
          <w:rFonts w:hint="eastAsia" w:ascii="宋体" w:hAnsi="宋体" w:cs="宋体"/>
          <w:sz w:val="24"/>
          <w:szCs w:val="24"/>
        </w:rPr>
      </w:pPr>
      <w:r>
        <w:rPr>
          <w:rFonts w:hint="eastAsia" w:ascii="宋体" w:hAnsi="宋体" w:cs="宋体"/>
          <w:sz w:val="24"/>
          <w:szCs w:val="24"/>
        </w:rPr>
        <w:t xml:space="preserve">    2、电子化平台相关注意事项： </w:t>
      </w:r>
    </w:p>
    <w:p w14:paraId="74E14E9C">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（1）供应商在电子化平台参与政府采购项目前，应在电子化平台完成信息注册； </w:t>
      </w:r>
    </w:p>
    <w:p w14:paraId="0291AEF0">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（2）CA数字证书申请：未进行政采云注册并办理数字证书（CA认证）的供应商将无法 </w:t>
      </w:r>
    </w:p>
    <w:p w14:paraId="29F0CED5">
      <w:pPr>
        <w:spacing w:line="360" w:lineRule="auto"/>
        <w:rPr>
          <w:rFonts w:hint="eastAsia" w:ascii="宋体" w:hAnsi="宋体" w:cs="宋体"/>
          <w:sz w:val="24"/>
          <w:szCs w:val="24"/>
        </w:rPr>
      </w:pPr>
      <w:r>
        <w:rPr>
          <w:rFonts w:hint="eastAsia" w:ascii="宋体" w:hAnsi="宋体" w:cs="宋体"/>
          <w:sz w:val="24"/>
          <w:szCs w:val="24"/>
        </w:rPr>
        <w:t xml:space="preserve">参与本项目政府采购活动，潜在供应商应当在响应截止时间前，完成政采云平台上的CA数字 </w:t>
      </w:r>
    </w:p>
    <w:p w14:paraId="163B8A37">
      <w:pPr>
        <w:spacing w:line="360" w:lineRule="auto"/>
        <w:rPr>
          <w:rFonts w:hint="eastAsia" w:ascii="宋体" w:hAnsi="宋体" w:cs="宋体"/>
          <w:sz w:val="24"/>
          <w:szCs w:val="24"/>
        </w:rPr>
      </w:pPr>
      <w:r>
        <w:rPr>
          <w:rFonts w:hint="eastAsia" w:ascii="宋体" w:hAnsi="宋体" w:cs="宋体"/>
          <w:sz w:val="24"/>
          <w:szCs w:val="24"/>
        </w:rPr>
        <w:t xml:space="preserve">证书办理及投标文件的提交。供应商须自行考虑办理时间，由于供应商自身原因导致无法完成 </w:t>
      </w:r>
    </w:p>
    <w:p w14:paraId="05321961">
      <w:pPr>
        <w:wordWrap w:val="0"/>
        <w:spacing w:line="360" w:lineRule="auto"/>
        <w:jc w:val="left"/>
        <w:rPr>
          <w:rFonts w:hint="eastAsia" w:ascii="宋体" w:hAnsi="宋体" w:cs="宋体"/>
          <w:sz w:val="24"/>
          <w:szCs w:val="24"/>
        </w:rPr>
      </w:pPr>
      <w:r>
        <w:rPr>
          <w:rFonts w:hint="eastAsia" w:ascii="宋体" w:hAnsi="宋体" w:cs="宋体"/>
          <w:sz w:val="24"/>
          <w:szCs w:val="24"/>
        </w:rPr>
        <w:t xml:space="preserve">办理的，后果自负；（ 安 信 CA 申 请 流 程 ： http://www.anxinca.com/kehu/zcy/kh-zcy-zsshenqing.html ； 翔 晟 CA 申 请 流 程 ： http://www.share-sun.com/xsapply/admin/login.aspx?unitname=jilin） </w:t>
      </w:r>
    </w:p>
    <w:p w14:paraId="6E0456F5">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（3）为确保网上操作合法、有效和安全，请供应商确保在电子响应过程中能够对相关数 </w:t>
      </w:r>
    </w:p>
    <w:p w14:paraId="3788E21A">
      <w:pPr>
        <w:spacing w:line="360" w:lineRule="auto"/>
        <w:rPr>
          <w:rFonts w:hint="eastAsia" w:ascii="宋体" w:hAnsi="宋体" w:cs="宋体"/>
          <w:sz w:val="24"/>
          <w:szCs w:val="24"/>
        </w:rPr>
      </w:pPr>
      <w:r>
        <w:rPr>
          <w:rFonts w:hint="eastAsia" w:ascii="宋体" w:hAnsi="宋体" w:cs="宋体"/>
          <w:sz w:val="24"/>
          <w:szCs w:val="24"/>
        </w:rPr>
        <w:t xml:space="preserve">据电文进行加密和使用电子签章，妥善保管CA数字证书并使用有效的CA数字证书参与整个采 </w:t>
      </w:r>
    </w:p>
    <w:p w14:paraId="1956C4E8">
      <w:pPr>
        <w:spacing w:line="360" w:lineRule="auto"/>
        <w:rPr>
          <w:rFonts w:hint="eastAsia" w:ascii="宋体" w:hAnsi="宋体" w:cs="宋体"/>
          <w:sz w:val="24"/>
          <w:szCs w:val="24"/>
        </w:rPr>
      </w:pPr>
      <w:r>
        <w:rPr>
          <w:rFonts w:hint="eastAsia" w:ascii="宋体" w:hAnsi="宋体" w:cs="宋体"/>
          <w:sz w:val="24"/>
          <w:szCs w:val="24"/>
        </w:rPr>
        <w:t xml:space="preserve">购活动； </w:t>
      </w:r>
    </w:p>
    <w:p w14:paraId="30CCBA5F">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（4）若对项目采购电子交易系统操作有疑问，可登录“政采云”平台，点击右侧咨询小 </w:t>
      </w:r>
    </w:p>
    <w:p w14:paraId="391689EE">
      <w:pPr>
        <w:spacing w:line="360" w:lineRule="auto"/>
        <w:rPr>
          <w:rFonts w:hint="eastAsia" w:ascii="宋体" w:hAnsi="宋体" w:cs="宋体"/>
          <w:sz w:val="24"/>
          <w:szCs w:val="24"/>
        </w:rPr>
      </w:pPr>
      <w:r>
        <w:rPr>
          <w:rFonts w:hint="eastAsia" w:ascii="宋体" w:hAnsi="宋体" w:cs="宋体"/>
          <w:sz w:val="24"/>
          <w:szCs w:val="24"/>
        </w:rPr>
        <w:t>采，获取智能服务管家帮助，或拨打政采云服务热线95763获取帮助。</w:t>
      </w:r>
    </w:p>
    <w:p w14:paraId="30B64AE0">
      <w:pPr>
        <w:spacing w:line="360" w:lineRule="auto"/>
        <w:rPr>
          <w:rFonts w:hint="eastAsia" w:ascii="宋体" w:hAnsi="宋体" w:cs="宋体"/>
          <w:sz w:val="24"/>
          <w:szCs w:val="24"/>
        </w:rPr>
      </w:pPr>
      <w:r>
        <w:rPr>
          <w:rFonts w:hint="eastAsia" w:ascii="宋体" w:hAnsi="宋体" w:cs="宋体"/>
          <w:sz w:val="24"/>
          <w:szCs w:val="24"/>
        </w:rPr>
        <w:t xml:space="preserve">    3、落实政府采购政策：《财政部关于进一步加大政府采购支持中小企业力度的通知》 （财库[2022]19号）、《政府采购促进中小企业发展管理办法》（财库[2020]46号）、《关于政府采购支持监狱企业发展有关问题的通知》(财库[2014]68号)、《三部门联合发布关于促进残疾人就业政府采购政策的通知》(财库[2017]141号)、《关于调整优化节能产品、环境标志产品政府采购执行机制的通知》(财库[2019]9号)等。</w:t>
      </w:r>
    </w:p>
    <w:p w14:paraId="5C633DED">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七、对本次招标提出询问，请按以下方式联系。</w:t>
      </w:r>
      <w:bookmarkEnd w:id="11"/>
      <w:bookmarkEnd w:id="12"/>
      <w:r>
        <w:rPr>
          <w:rFonts w:hint="eastAsia" w:ascii="宋体" w:hAnsi="宋体" w:cs="宋体"/>
          <w:kern w:val="0"/>
          <w:sz w:val="24"/>
          <w:szCs w:val="24"/>
        </w:rPr>
        <w:tab/>
      </w:r>
      <w:r>
        <w:rPr>
          <w:rFonts w:hint="eastAsia" w:ascii="宋体" w:hAnsi="宋体" w:cs="宋体"/>
          <w:kern w:val="0"/>
          <w:sz w:val="24"/>
          <w:szCs w:val="24"/>
        </w:rPr>
        <w:t xml:space="preserve">　　 </w:t>
      </w:r>
    </w:p>
    <w:p w14:paraId="664BA308">
      <w:pPr>
        <w:spacing w:line="360" w:lineRule="auto"/>
        <w:ind w:firstLine="480" w:firstLineChars="200"/>
        <w:rPr>
          <w:rFonts w:hint="eastAsia" w:ascii="宋体" w:hAnsi="宋体" w:cs="宋体"/>
          <w:sz w:val="24"/>
          <w:szCs w:val="24"/>
        </w:rPr>
      </w:pPr>
      <w:r>
        <w:rPr>
          <w:rFonts w:hint="eastAsia" w:ascii="宋体" w:hAnsi="宋体" w:cs="宋体"/>
          <w:sz w:val="24"/>
          <w:szCs w:val="24"/>
        </w:rPr>
        <w:t>1.采购人信息</w:t>
      </w:r>
    </w:p>
    <w:p w14:paraId="7EBA665C">
      <w:pPr>
        <w:spacing w:line="360" w:lineRule="auto"/>
        <w:ind w:firstLine="480" w:firstLineChars="200"/>
        <w:rPr>
          <w:rFonts w:hint="eastAsia" w:ascii="宋体" w:hAnsi="宋体" w:cs="宋体"/>
          <w:sz w:val="24"/>
          <w:szCs w:val="24"/>
        </w:rPr>
      </w:pPr>
      <w:r>
        <w:rPr>
          <w:rFonts w:hint="eastAsia" w:ascii="宋体" w:hAnsi="宋体" w:cs="宋体"/>
          <w:sz w:val="24"/>
          <w:szCs w:val="24"/>
        </w:rPr>
        <w:t>名    称：吉林工程职业学院</w:t>
      </w:r>
    </w:p>
    <w:p w14:paraId="4FF5CC4F">
      <w:pPr>
        <w:spacing w:line="360" w:lineRule="auto"/>
        <w:ind w:firstLine="480" w:firstLineChars="200"/>
        <w:rPr>
          <w:rFonts w:hint="eastAsia" w:ascii="宋体" w:hAnsi="宋体" w:cs="宋体"/>
          <w:sz w:val="24"/>
          <w:szCs w:val="24"/>
        </w:rPr>
      </w:pPr>
      <w:r>
        <w:rPr>
          <w:rFonts w:hint="eastAsia" w:ascii="宋体" w:hAnsi="宋体" w:cs="宋体"/>
          <w:sz w:val="24"/>
          <w:szCs w:val="24"/>
        </w:rPr>
        <w:t>地　　址：</w:t>
      </w:r>
      <w:r>
        <w:rPr>
          <w:rFonts w:hint="eastAsia" w:ascii="宋体" w:hAnsi="宋体" w:cs="宋体"/>
          <w:sz w:val="24"/>
          <w:szCs w:val="24"/>
          <w:lang w:val="zh-CN"/>
        </w:rPr>
        <w:t>吉林省四平市铁东区长发路</w:t>
      </w:r>
      <w:r>
        <w:rPr>
          <w:rFonts w:hint="eastAsia" w:ascii="宋体" w:hAnsi="宋体" w:cs="宋体"/>
          <w:sz w:val="24"/>
          <w:szCs w:val="24"/>
        </w:rPr>
        <w:t xml:space="preserve">1299号 </w:t>
      </w:r>
    </w:p>
    <w:p w14:paraId="23ABDA54">
      <w:pPr>
        <w:spacing w:line="360" w:lineRule="auto"/>
        <w:ind w:firstLine="480" w:firstLineChars="200"/>
        <w:rPr>
          <w:rFonts w:hint="eastAsia" w:ascii="宋体" w:hAnsi="宋体" w:cs="宋体"/>
          <w:sz w:val="24"/>
          <w:szCs w:val="24"/>
        </w:rPr>
      </w:pPr>
      <w:r>
        <w:rPr>
          <w:rFonts w:hint="eastAsia" w:ascii="宋体" w:hAnsi="宋体" w:cs="宋体"/>
          <w:sz w:val="24"/>
          <w:szCs w:val="24"/>
        </w:rPr>
        <w:t>联系方式：王畅 0434-3352223</w:t>
      </w:r>
    </w:p>
    <w:p w14:paraId="12E38403">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2.采购代理机构信息</w:t>
      </w:r>
    </w:p>
    <w:p w14:paraId="3D4C231C">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名    称：鼎正众创建设集团有限公司</w:t>
      </w:r>
    </w:p>
    <w:p w14:paraId="2CEBAF9B">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地　　址：长春市净月开发区环球贸易中心1栋1706室</w:t>
      </w:r>
    </w:p>
    <w:p w14:paraId="68BC9D41">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联系方式：</w:t>
      </w:r>
      <w:r>
        <w:rPr>
          <w:rFonts w:hint="eastAsia" w:ascii="宋体" w:hAnsi="宋体" w:cs="宋体"/>
          <w:sz w:val="24"/>
          <w:szCs w:val="24"/>
        </w:rPr>
        <w:t>孙小英</w:t>
      </w:r>
      <w:r>
        <w:rPr>
          <w:rFonts w:hint="eastAsia" w:ascii="宋体" w:hAnsi="宋体" w:cs="宋体"/>
          <w:sz w:val="24"/>
          <w:szCs w:val="24"/>
          <w:lang w:val="zh-CN"/>
        </w:rPr>
        <w:t xml:space="preserve">    0431-88664456</w:t>
      </w:r>
    </w:p>
    <w:p w14:paraId="26E9BF8D">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3.项目联系方式</w:t>
      </w:r>
    </w:p>
    <w:p w14:paraId="70663E24">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项目联系人：</w:t>
      </w:r>
      <w:r>
        <w:rPr>
          <w:rFonts w:hint="eastAsia" w:ascii="宋体" w:hAnsi="宋体" w:cs="宋体"/>
          <w:sz w:val="24"/>
          <w:szCs w:val="24"/>
        </w:rPr>
        <w:t>孙小英</w:t>
      </w:r>
    </w:p>
    <w:p w14:paraId="1D6AD494">
      <w:pPr>
        <w:adjustRightInd w:val="0"/>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电      话：0431-88664456</w:t>
      </w:r>
    </w:p>
    <w:p w14:paraId="266A0204">
      <w:pPr>
        <w:widowControl/>
        <w:ind w:firstLine="480" w:firstLineChars="200"/>
        <w:jc w:val="left"/>
        <w:rPr>
          <w:sz w:val="32"/>
          <w:szCs w:val="32"/>
          <w:lang w:val="zh-CN"/>
        </w:rPr>
      </w:pPr>
      <w:r>
        <w:rPr>
          <w:rFonts w:hint="eastAsia" w:ascii="宋体" w:hAnsi="宋体" w:cs="宋体"/>
          <w:color w:val="000000"/>
          <w:kern w:val="0"/>
          <w:sz w:val="24"/>
          <w:szCs w:val="24"/>
          <w:lang w:bidi="ar"/>
        </w:rPr>
        <w:t>监管部门：吉林省财政厅政府采购管理处</w:t>
      </w:r>
      <w:bookmarkStart w:id="13" w:name="_Toc18032"/>
    </w:p>
    <w:p w14:paraId="4BDC1B89">
      <w:pPr>
        <w:pStyle w:val="2"/>
        <w:spacing w:line="240" w:lineRule="auto"/>
        <w:rPr>
          <w:sz w:val="32"/>
          <w:szCs w:val="32"/>
          <w:lang w:val="zh-CN"/>
        </w:rPr>
      </w:pPr>
    </w:p>
    <w:p w14:paraId="56192691">
      <w:pPr>
        <w:pStyle w:val="2"/>
        <w:spacing w:line="240" w:lineRule="auto"/>
        <w:rPr>
          <w:sz w:val="32"/>
          <w:szCs w:val="32"/>
          <w:lang w:val="zh-CN"/>
        </w:rPr>
      </w:pPr>
    </w:p>
    <w:p w14:paraId="1DE973AD">
      <w:pPr>
        <w:pStyle w:val="2"/>
        <w:spacing w:line="240" w:lineRule="auto"/>
        <w:rPr>
          <w:sz w:val="32"/>
          <w:szCs w:val="32"/>
          <w:lang w:val="zh-CN"/>
        </w:rPr>
      </w:pPr>
    </w:p>
    <w:p w14:paraId="20077603">
      <w:pPr>
        <w:pStyle w:val="2"/>
        <w:spacing w:line="240" w:lineRule="auto"/>
        <w:rPr>
          <w:sz w:val="32"/>
          <w:szCs w:val="32"/>
          <w:lang w:val="zh-CN"/>
        </w:rPr>
      </w:pPr>
    </w:p>
    <w:p w14:paraId="5947137A">
      <w:pPr>
        <w:pStyle w:val="2"/>
        <w:spacing w:line="240" w:lineRule="auto"/>
        <w:rPr>
          <w:sz w:val="32"/>
          <w:szCs w:val="32"/>
          <w:lang w:val="zh-CN"/>
        </w:rPr>
      </w:pPr>
    </w:p>
    <w:p w14:paraId="16C3069D">
      <w:pPr>
        <w:pStyle w:val="2"/>
        <w:spacing w:line="240" w:lineRule="auto"/>
        <w:rPr>
          <w:sz w:val="32"/>
          <w:szCs w:val="32"/>
          <w:lang w:val="zh-CN"/>
        </w:rPr>
      </w:pPr>
    </w:p>
    <w:p w14:paraId="52E17FF6">
      <w:pPr>
        <w:pStyle w:val="2"/>
        <w:spacing w:line="240" w:lineRule="auto"/>
        <w:rPr>
          <w:sz w:val="32"/>
          <w:szCs w:val="32"/>
          <w:lang w:val="zh-CN"/>
        </w:rPr>
      </w:pPr>
    </w:p>
    <w:p w14:paraId="2FF6F2C9">
      <w:pPr>
        <w:pStyle w:val="2"/>
        <w:spacing w:line="240" w:lineRule="auto"/>
        <w:rPr>
          <w:sz w:val="32"/>
          <w:szCs w:val="32"/>
          <w:lang w:val="zh-CN"/>
        </w:rPr>
      </w:pPr>
    </w:p>
    <w:p w14:paraId="2FCCCA82">
      <w:pPr>
        <w:pStyle w:val="2"/>
        <w:spacing w:line="240" w:lineRule="auto"/>
        <w:rPr>
          <w:sz w:val="32"/>
          <w:szCs w:val="32"/>
          <w:lang w:val="zh-CN"/>
        </w:rPr>
      </w:pPr>
    </w:p>
    <w:p w14:paraId="5E81ADA0">
      <w:pPr>
        <w:pStyle w:val="2"/>
        <w:spacing w:line="240" w:lineRule="auto"/>
        <w:rPr>
          <w:sz w:val="32"/>
          <w:szCs w:val="32"/>
          <w:lang w:val="zh-CN"/>
        </w:rPr>
      </w:pPr>
    </w:p>
    <w:p w14:paraId="2FEEA925">
      <w:pPr>
        <w:pStyle w:val="2"/>
        <w:spacing w:line="240" w:lineRule="auto"/>
        <w:rPr>
          <w:sz w:val="32"/>
          <w:szCs w:val="32"/>
          <w:lang w:val="zh-CN"/>
        </w:rPr>
      </w:pPr>
    </w:p>
    <w:p w14:paraId="71DBB7FF">
      <w:pPr>
        <w:pStyle w:val="2"/>
        <w:spacing w:line="240" w:lineRule="auto"/>
        <w:rPr>
          <w:sz w:val="32"/>
          <w:szCs w:val="32"/>
          <w:lang w:val="zh-CN"/>
        </w:rPr>
      </w:pPr>
    </w:p>
    <w:p w14:paraId="152E9D63">
      <w:pPr>
        <w:pStyle w:val="2"/>
        <w:spacing w:line="240" w:lineRule="auto"/>
        <w:rPr>
          <w:sz w:val="32"/>
          <w:szCs w:val="32"/>
          <w:lang w:val="zh-CN"/>
        </w:rPr>
      </w:pPr>
    </w:p>
    <w:p w14:paraId="38589A3C">
      <w:pPr>
        <w:pStyle w:val="2"/>
        <w:spacing w:line="240" w:lineRule="auto"/>
        <w:rPr>
          <w:sz w:val="32"/>
          <w:szCs w:val="32"/>
          <w:lang w:val="zh-CN"/>
        </w:rPr>
      </w:pPr>
    </w:p>
    <w:p w14:paraId="3A21BD46">
      <w:pPr>
        <w:pStyle w:val="2"/>
        <w:spacing w:line="240" w:lineRule="auto"/>
        <w:rPr>
          <w:sz w:val="32"/>
          <w:szCs w:val="32"/>
          <w:lang w:val="zh-CN"/>
        </w:rPr>
      </w:pPr>
    </w:p>
    <w:p w14:paraId="3B66F93A">
      <w:pPr>
        <w:pStyle w:val="2"/>
        <w:spacing w:line="240" w:lineRule="auto"/>
        <w:rPr>
          <w:sz w:val="32"/>
          <w:szCs w:val="32"/>
          <w:lang w:val="zh-CN"/>
        </w:rPr>
      </w:pPr>
    </w:p>
    <w:p w14:paraId="7873F4E4">
      <w:pPr>
        <w:pStyle w:val="2"/>
        <w:spacing w:line="240" w:lineRule="auto"/>
        <w:rPr>
          <w:sz w:val="32"/>
          <w:szCs w:val="32"/>
          <w:lang w:val="zh-CN"/>
        </w:rPr>
      </w:pPr>
    </w:p>
    <w:p w14:paraId="1386D255">
      <w:pPr>
        <w:pStyle w:val="2"/>
        <w:spacing w:line="240" w:lineRule="auto"/>
        <w:rPr>
          <w:sz w:val="32"/>
          <w:szCs w:val="32"/>
          <w:lang w:val="zh-CN"/>
        </w:rPr>
      </w:pPr>
    </w:p>
    <w:p w14:paraId="363FB1F7">
      <w:pPr>
        <w:pStyle w:val="2"/>
        <w:spacing w:line="240" w:lineRule="auto"/>
        <w:rPr>
          <w:sz w:val="32"/>
          <w:szCs w:val="32"/>
          <w:lang w:val="zh-CN"/>
        </w:rPr>
      </w:pPr>
    </w:p>
    <w:p w14:paraId="449B1537">
      <w:pPr>
        <w:pStyle w:val="2"/>
        <w:spacing w:line="240" w:lineRule="auto"/>
        <w:rPr>
          <w:sz w:val="32"/>
          <w:szCs w:val="32"/>
          <w:lang w:val="zh-CN"/>
        </w:rPr>
      </w:pPr>
    </w:p>
    <w:p w14:paraId="0C89B992">
      <w:pPr>
        <w:pStyle w:val="2"/>
        <w:spacing w:line="240" w:lineRule="auto"/>
        <w:rPr>
          <w:sz w:val="32"/>
          <w:szCs w:val="32"/>
          <w:lang w:val="zh-CN"/>
        </w:rPr>
      </w:pPr>
    </w:p>
    <w:p w14:paraId="1AA0E0AC">
      <w:pPr>
        <w:pStyle w:val="2"/>
        <w:spacing w:line="240" w:lineRule="auto"/>
        <w:rPr>
          <w:sz w:val="32"/>
          <w:szCs w:val="32"/>
          <w:lang w:val="zh-CN"/>
        </w:rPr>
      </w:pPr>
    </w:p>
    <w:p w14:paraId="28D7D6AA">
      <w:pPr>
        <w:pStyle w:val="2"/>
        <w:spacing w:line="240" w:lineRule="auto"/>
        <w:rPr>
          <w:sz w:val="32"/>
          <w:szCs w:val="32"/>
          <w:lang w:val="zh-CN"/>
        </w:rPr>
      </w:pPr>
    </w:p>
    <w:p w14:paraId="7B5309BA">
      <w:pPr>
        <w:pStyle w:val="2"/>
        <w:spacing w:line="240" w:lineRule="auto"/>
        <w:rPr>
          <w:sz w:val="32"/>
          <w:szCs w:val="32"/>
          <w:lang w:val="zh-CN"/>
        </w:rPr>
      </w:pPr>
    </w:p>
    <w:p w14:paraId="3BA919D5">
      <w:pPr>
        <w:pStyle w:val="2"/>
        <w:spacing w:line="240" w:lineRule="auto"/>
        <w:rPr>
          <w:sz w:val="32"/>
          <w:szCs w:val="32"/>
          <w:lang w:val="zh-CN"/>
        </w:rPr>
      </w:pPr>
    </w:p>
    <w:p w14:paraId="6150E48E">
      <w:pPr>
        <w:rPr>
          <w:sz w:val="32"/>
          <w:szCs w:val="32"/>
          <w:lang w:val="zh-CN"/>
        </w:rPr>
      </w:pPr>
    </w:p>
    <w:p w14:paraId="775D162A">
      <w:pPr>
        <w:pStyle w:val="2"/>
        <w:spacing w:line="240" w:lineRule="auto"/>
        <w:rPr>
          <w:sz w:val="32"/>
          <w:szCs w:val="32"/>
          <w:lang w:val="zh-CN"/>
        </w:rPr>
      </w:pPr>
    </w:p>
    <w:p w14:paraId="49284FC1">
      <w:pPr>
        <w:pStyle w:val="2"/>
        <w:spacing w:line="240" w:lineRule="auto"/>
        <w:rPr>
          <w:sz w:val="32"/>
          <w:szCs w:val="32"/>
          <w:lang w:val="zh-CN"/>
        </w:rPr>
      </w:pPr>
    </w:p>
    <w:p w14:paraId="2A887AC1">
      <w:pPr>
        <w:pStyle w:val="2"/>
        <w:spacing w:line="240" w:lineRule="auto"/>
        <w:rPr>
          <w:sz w:val="32"/>
          <w:szCs w:val="32"/>
          <w:lang w:val="zh-CN"/>
        </w:rPr>
      </w:pPr>
    </w:p>
    <w:p w14:paraId="50D9F735">
      <w:pPr>
        <w:pStyle w:val="2"/>
        <w:spacing w:line="240" w:lineRule="auto"/>
        <w:rPr>
          <w:sz w:val="32"/>
          <w:szCs w:val="32"/>
          <w:lang w:val="zh-CN"/>
        </w:rPr>
      </w:pPr>
    </w:p>
    <w:p w14:paraId="54ED95D4">
      <w:pPr>
        <w:pStyle w:val="2"/>
        <w:spacing w:line="240" w:lineRule="auto"/>
        <w:rPr>
          <w:sz w:val="32"/>
          <w:szCs w:val="32"/>
          <w:lang w:val="zh-CN"/>
        </w:rPr>
      </w:pPr>
    </w:p>
    <w:p w14:paraId="3999BD3C">
      <w:pPr>
        <w:pStyle w:val="2"/>
        <w:spacing w:line="240" w:lineRule="auto"/>
        <w:rPr>
          <w:sz w:val="32"/>
          <w:szCs w:val="32"/>
          <w:lang w:val="zh-CN"/>
        </w:rPr>
      </w:pPr>
    </w:p>
    <w:p w14:paraId="59FD6AC1">
      <w:pPr>
        <w:rPr>
          <w:lang w:val="zh-CN"/>
        </w:rPr>
      </w:pPr>
    </w:p>
    <w:p w14:paraId="69F564A6">
      <w:pPr>
        <w:rPr>
          <w:lang w:val="zh-CN"/>
        </w:rPr>
      </w:pPr>
    </w:p>
    <w:p w14:paraId="06231BC9">
      <w:pPr>
        <w:pStyle w:val="2"/>
        <w:spacing w:line="240" w:lineRule="auto"/>
        <w:rPr>
          <w:sz w:val="32"/>
          <w:szCs w:val="32"/>
          <w:lang w:val="zh-CN"/>
        </w:rPr>
      </w:pPr>
    </w:p>
    <w:p w14:paraId="0BED9B94">
      <w:pPr>
        <w:rPr>
          <w:lang w:val="zh-CN"/>
        </w:rPr>
      </w:pPr>
    </w:p>
    <w:p w14:paraId="35764107">
      <w:pPr>
        <w:pStyle w:val="2"/>
        <w:spacing w:line="240" w:lineRule="auto"/>
        <w:rPr>
          <w:sz w:val="32"/>
          <w:szCs w:val="32"/>
          <w:lang w:val="zh-CN"/>
        </w:rPr>
      </w:pPr>
      <w:r>
        <w:rPr>
          <w:rFonts w:hint="eastAsia"/>
          <w:sz w:val="32"/>
          <w:szCs w:val="32"/>
          <w:lang w:val="zh-CN"/>
        </w:rPr>
        <w:t>第二章  投标人须知</w:t>
      </w:r>
      <w:bookmarkEnd w:id="1"/>
      <w:bookmarkEnd w:id="13"/>
    </w:p>
    <w:p w14:paraId="14A96F3B">
      <w:pPr>
        <w:autoSpaceDE w:val="0"/>
        <w:autoSpaceDN w:val="0"/>
        <w:adjustRightInd w:val="0"/>
        <w:jc w:val="center"/>
        <w:rPr>
          <w:rFonts w:hint="eastAsia" w:ascii="宋体" w:hAnsi="宋体" w:cs="宋体"/>
          <w:b/>
          <w:color w:val="000000"/>
          <w:sz w:val="30"/>
          <w:szCs w:val="30"/>
          <w:lang w:val="zh-CN"/>
        </w:rPr>
      </w:pPr>
      <w:r>
        <w:rPr>
          <w:rFonts w:hint="eastAsia" w:ascii="宋体" w:hAnsi="宋体" w:cs="宋体"/>
          <w:b/>
          <w:color w:val="000000"/>
          <w:sz w:val="30"/>
          <w:szCs w:val="30"/>
          <w:lang w:val="zh-CN"/>
        </w:rPr>
        <w:t>投标须知前附表</w:t>
      </w:r>
    </w:p>
    <w:tbl>
      <w:tblPr>
        <w:tblStyle w:val="21"/>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3"/>
        <w:gridCol w:w="3002"/>
        <w:gridCol w:w="5816"/>
      </w:tblGrid>
      <w:tr w14:paraId="08D2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56" w:type="pct"/>
            <w:vAlign w:val="center"/>
          </w:tcPr>
          <w:p w14:paraId="431CDB10">
            <w:pPr>
              <w:autoSpaceDE w:val="0"/>
              <w:autoSpaceDN w:val="0"/>
              <w:adjustRightInd w:val="0"/>
              <w:spacing w:line="360" w:lineRule="auto"/>
              <w:jc w:val="center"/>
              <w:rPr>
                <w:rFonts w:hint="eastAsia" w:ascii="宋体" w:hAnsi="宋体" w:cs="宋体"/>
                <w:color w:val="000000"/>
                <w:sz w:val="24"/>
                <w:szCs w:val="24"/>
                <w:lang w:val="zh-CN"/>
              </w:rPr>
            </w:pPr>
            <w:r>
              <w:rPr>
                <w:rFonts w:hint="eastAsia" w:ascii="宋体" w:hAnsi="宋体" w:cs="宋体"/>
                <w:color w:val="000000"/>
                <w:sz w:val="24"/>
                <w:szCs w:val="24"/>
                <w:lang w:val="zh-CN"/>
              </w:rPr>
              <w:t>序号</w:t>
            </w:r>
          </w:p>
        </w:tc>
        <w:tc>
          <w:tcPr>
            <w:tcW w:w="1513" w:type="pct"/>
            <w:vAlign w:val="center"/>
          </w:tcPr>
          <w:p w14:paraId="450CCA3B">
            <w:pPr>
              <w:pStyle w:val="13"/>
              <w:pBdr>
                <w:bottom w:val="none" w:color="auto" w:sz="0" w:space="0"/>
              </w:pBdr>
              <w:tabs>
                <w:tab w:val="clear" w:pos="4153"/>
                <w:tab w:val="clear" w:pos="8306"/>
              </w:tabs>
              <w:autoSpaceDE w:val="0"/>
              <w:autoSpaceDN w:val="0"/>
              <w:adjustRightInd w:val="0"/>
              <w:snapToGrid/>
              <w:spacing w:line="360" w:lineRule="auto"/>
              <w:rPr>
                <w:rFonts w:hint="eastAsia" w:ascii="宋体" w:hAnsi="宋体" w:cs="宋体"/>
                <w:b/>
                <w:color w:val="000000"/>
                <w:sz w:val="24"/>
                <w:szCs w:val="24"/>
                <w:lang w:val="zh-CN"/>
              </w:rPr>
            </w:pPr>
            <w:r>
              <w:rPr>
                <w:rFonts w:hint="eastAsia" w:ascii="宋体" w:hAnsi="宋体" w:cs="宋体"/>
                <w:b/>
                <w:color w:val="000000"/>
                <w:sz w:val="24"/>
                <w:szCs w:val="24"/>
                <w:lang w:val="zh-CN"/>
              </w:rPr>
              <w:t>名  称</w:t>
            </w:r>
          </w:p>
        </w:tc>
        <w:tc>
          <w:tcPr>
            <w:tcW w:w="2930" w:type="pct"/>
            <w:vAlign w:val="center"/>
          </w:tcPr>
          <w:p w14:paraId="16B715F9">
            <w:pPr>
              <w:pStyle w:val="13"/>
              <w:pBdr>
                <w:bottom w:val="none" w:color="auto" w:sz="0" w:space="0"/>
              </w:pBdr>
              <w:tabs>
                <w:tab w:val="clear" w:pos="4153"/>
                <w:tab w:val="clear" w:pos="8306"/>
              </w:tabs>
              <w:autoSpaceDE w:val="0"/>
              <w:autoSpaceDN w:val="0"/>
              <w:adjustRightInd w:val="0"/>
              <w:snapToGrid/>
              <w:spacing w:line="360" w:lineRule="auto"/>
              <w:rPr>
                <w:rFonts w:hint="eastAsia" w:ascii="宋体" w:hAnsi="宋体" w:cs="宋体"/>
                <w:b/>
                <w:color w:val="000000"/>
                <w:sz w:val="24"/>
                <w:szCs w:val="24"/>
                <w:lang w:val="zh-CN"/>
              </w:rPr>
            </w:pPr>
            <w:r>
              <w:rPr>
                <w:rFonts w:hint="eastAsia" w:ascii="宋体" w:hAnsi="宋体" w:cs="宋体"/>
                <w:b/>
                <w:color w:val="000000"/>
                <w:sz w:val="24"/>
                <w:szCs w:val="24"/>
                <w:lang w:val="zh-CN"/>
              </w:rPr>
              <w:t>编列内容</w:t>
            </w:r>
          </w:p>
        </w:tc>
      </w:tr>
      <w:tr w14:paraId="0B621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556" w:type="pct"/>
            <w:vAlign w:val="center"/>
          </w:tcPr>
          <w:p w14:paraId="15EE40E7">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1</w:t>
            </w:r>
          </w:p>
        </w:tc>
        <w:tc>
          <w:tcPr>
            <w:tcW w:w="1513" w:type="pct"/>
            <w:vAlign w:val="center"/>
          </w:tcPr>
          <w:p w14:paraId="703C9344">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采购人信息</w:t>
            </w:r>
          </w:p>
        </w:tc>
        <w:tc>
          <w:tcPr>
            <w:tcW w:w="2930" w:type="pct"/>
            <w:vAlign w:val="center"/>
          </w:tcPr>
          <w:p w14:paraId="5EEA7E21">
            <w:pPr>
              <w:spacing w:line="360" w:lineRule="auto"/>
              <w:rPr>
                <w:rFonts w:hint="eastAsia" w:ascii="宋体" w:hAnsi="宋体" w:cs="宋体"/>
                <w:color w:val="000000"/>
                <w:sz w:val="24"/>
                <w:szCs w:val="24"/>
              </w:rPr>
            </w:pPr>
            <w:r>
              <w:rPr>
                <w:rFonts w:hint="eastAsia" w:ascii="宋体" w:hAnsi="宋体" w:cs="宋体"/>
                <w:color w:val="000000"/>
                <w:sz w:val="24"/>
                <w:szCs w:val="24"/>
              </w:rPr>
              <w:t>名    称：吉林工程职业学院</w:t>
            </w:r>
          </w:p>
          <w:p w14:paraId="64F59D84">
            <w:pPr>
              <w:spacing w:line="360" w:lineRule="auto"/>
              <w:rPr>
                <w:rFonts w:hint="eastAsia" w:ascii="宋体" w:hAnsi="宋体" w:cs="宋体"/>
                <w:color w:val="000000"/>
                <w:sz w:val="24"/>
                <w:szCs w:val="24"/>
              </w:rPr>
            </w:pPr>
            <w:r>
              <w:rPr>
                <w:rFonts w:hint="eastAsia" w:ascii="宋体" w:hAnsi="宋体" w:cs="宋体"/>
                <w:color w:val="000000"/>
                <w:sz w:val="24"/>
                <w:szCs w:val="24"/>
              </w:rPr>
              <w:t>地　　址：</w:t>
            </w:r>
            <w:r>
              <w:rPr>
                <w:rFonts w:hint="eastAsia" w:ascii="宋体" w:hAnsi="宋体" w:cs="宋体"/>
                <w:color w:val="000000"/>
                <w:sz w:val="24"/>
                <w:szCs w:val="24"/>
                <w:lang w:val="zh-CN"/>
              </w:rPr>
              <w:t>吉林省四平市铁东区长发路</w:t>
            </w:r>
            <w:r>
              <w:rPr>
                <w:rFonts w:hint="eastAsia" w:ascii="宋体" w:hAnsi="宋体" w:cs="宋体"/>
                <w:color w:val="000000"/>
                <w:sz w:val="24"/>
                <w:szCs w:val="24"/>
              </w:rPr>
              <w:t xml:space="preserve">1299号 </w:t>
            </w:r>
          </w:p>
          <w:p w14:paraId="3DA8AF83">
            <w:pPr>
              <w:spacing w:line="360" w:lineRule="auto"/>
              <w:rPr>
                <w:rFonts w:hint="eastAsia" w:ascii="宋体" w:hAnsi="宋体" w:cs="宋体"/>
                <w:color w:val="000000"/>
                <w:sz w:val="24"/>
                <w:szCs w:val="24"/>
              </w:rPr>
            </w:pPr>
            <w:r>
              <w:rPr>
                <w:rFonts w:hint="eastAsia" w:ascii="宋体" w:hAnsi="宋体" w:cs="宋体"/>
                <w:color w:val="000000"/>
                <w:sz w:val="24"/>
                <w:szCs w:val="24"/>
              </w:rPr>
              <w:t>联系方式：王畅 0434-3352223</w:t>
            </w:r>
          </w:p>
        </w:tc>
      </w:tr>
      <w:tr w14:paraId="56D66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556" w:type="pct"/>
            <w:vAlign w:val="center"/>
          </w:tcPr>
          <w:p w14:paraId="4D23945F">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2</w:t>
            </w:r>
          </w:p>
        </w:tc>
        <w:tc>
          <w:tcPr>
            <w:tcW w:w="1513" w:type="pct"/>
            <w:vAlign w:val="center"/>
          </w:tcPr>
          <w:p w14:paraId="68FFE656">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采购代理机构信息</w:t>
            </w:r>
          </w:p>
        </w:tc>
        <w:tc>
          <w:tcPr>
            <w:tcW w:w="2930" w:type="pct"/>
            <w:vAlign w:val="center"/>
          </w:tcPr>
          <w:p w14:paraId="3C346BAD">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名    称：</w:t>
            </w:r>
            <w:r>
              <w:rPr>
                <w:rFonts w:hint="eastAsia" w:ascii="宋体" w:hAnsi="宋体" w:cs="宋体"/>
                <w:sz w:val="24"/>
                <w:szCs w:val="24"/>
                <w:lang w:val="zh-CN"/>
              </w:rPr>
              <w:t>鼎正众创建设集团有限公司</w:t>
            </w:r>
          </w:p>
          <w:p w14:paraId="42139E0B">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地　　址：长春市净月开发区环球贸易中心1栋1706室</w:t>
            </w:r>
          </w:p>
          <w:p w14:paraId="05A2EFCE">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联系方式：</w:t>
            </w:r>
            <w:r>
              <w:rPr>
                <w:rFonts w:hint="eastAsia" w:ascii="宋体" w:hAnsi="宋体" w:cs="宋体"/>
                <w:sz w:val="24"/>
                <w:szCs w:val="24"/>
              </w:rPr>
              <w:t>孙小英</w:t>
            </w:r>
            <w:r>
              <w:rPr>
                <w:rFonts w:hint="eastAsia" w:ascii="宋体" w:hAnsi="宋体" w:cs="宋体"/>
                <w:bCs/>
                <w:color w:val="000000"/>
                <w:sz w:val="24"/>
                <w:szCs w:val="24"/>
                <w:lang w:val="zh-CN"/>
              </w:rPr>
              <w:t xml:space="preserve">    0431-88664456</w:t>
            </w:r>
          </w:p>
        </w:tc>
      </w:tr>
      <w:tr w14:paraId="63B5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556" w:type="pct"/>
            <w:vAlign w:val="center"/>
          </w:tcPr>
          <w:p w14:paraId="79A9035A">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3</w:t>
            </w:r>
          </w:p>
        </w:tc>
        <w:tc>
          <w:tcPr>
            <w:tcW w:w="1513" w:type="pct"/>
            <w:vAlign w:val="center"/>
          </w:tcPr>
          <w:p w14:paraId="63F293BF">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项目名称及编号</w:t>
            </w:r>
          </w:p>
        </w:tc>
        <w:tc>
          <w:tcPr>
            <w:tcW w:w="2930" w:type="pct"/>
            <w:vAlign w:val="center"/>
          </w:tcPr>
          <w:p w14:paraId="6C1AF08F">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项目名称：</w:t>
            </w:r>
            <w:r>
              <w:rPr>
                <w:rFonts w:hint="eastAsia" w:ascii="宋体" w:hAnsi="宋体" w:cs="宋体"/>
                <w:sz w:val="24"/>
                <w:szCs w:val="24"/>
              </w:rPr>
              <w:t>新能源汽车综合应用实训室建设项目</w:t>
            </w:r>
            <w:r>
              <w:rPr>
                <w:rFonts w:hint="eastAsia" w:ascii="宋体" w:hAnsi="宋体" w:cs="宋体"/>
                <w:bCs/>
                <w:color w:val="000000"/>
                <w:sz w:val="24"/>
                <w:szCs w:val="24"/>
                <w:lang w:val="zh-CN"/>
              </w:rPr>
              <w:t xml:space="preserve"> </w:t>
            </w:r>
          </w:p>
          <w:p w14:paraId="608B868C">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项目编号：</w:t>
            </w:r>
            <w:r>
              <w:fldChar w:fldCharType="begin"/>
            </w:r>
            <w:r>
              <w:instrText xml:space="preserve">HYPERLINK "https://www.zcygov.cn/gaea/api/project/flow/redirect?projectId=7295595741402890312&amp;newUrl=https://www.zcygov.cn/micro-app-back-index/blank?_flow_type_=agency&amp;_flow_projectId_=7295595741402890312&amp;_jump_page_type_=project_procurement_management_flow&amp;_app_=zcy.procurement&amp;oldUrl=https://www.zcygov.cn/project-center/_procurement_/project-result-detail/7295595741402890312" \t "https://www.zcygov.cn/project-center/_procurement_/self-project/_blank"</w:instrText>
            </w:r>
            <w:r>
              <w:fldChar w:fldCharType="separate"/>
            </w:r>
            <w:r>
              <w:rPr>
                <w:rFonts w:hint="eastAsia" w:ascii="宋体" w:hAnsi="宋体" w:cs="宋体"/>
                <w:sz w:val="24"/>
                <w:szCs w:val="24"/>
              </w:rPr>
              <w:t>采购计划-[2025]-01808号-1</w:t>
            </w:r>
            <w:r>
              <w:fldChar w:fldCharType="end"/>
            </w:r>
          </w:p>
        </w:tc>
      </w:tr>
      <w:tr w14:paraId="166F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48AB38F0">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4</w:t>
            </w:r>
          </w:p>
        </w:tc>
        <w:tc>
          <w:tcPr>
            <w:tcW w:w="1513" w:type="pct"/>
            <w:vAlign w:val="center"/>
          </w:tcPr>
          <w:p w14:paraId="6BB41A7D">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供货地点</w:t>
            </w:r>
          </w:p>
        </w:tc>
        <w:tc>
          <w:tcPr>
            <w:tcW w:w="2930" w:type="pct"/>
            <w:vAlign w:val="center"/>
          </w:tcPr>
          <w:p w14:paraId="77691C4D">
            <w:pPr>
              <w:spacing w:line="360" w:lineRule="auto"/>
              <w:rPr>
                <w:rFonts w:hint="eastAsia" w:ascii="宋体" w:hAnsi="宋体" w:cs="宋体"/>
                <w:color w:val="000000"/>
                <w:sz w:val="24"/>
                <w:szCs w:val="24"/>
              </w:rPr>
            </w:pPr>
            <w:r>
              <w:rPr>
                <w:rFonts w:hint="eastAsia" w:ascii="宋体" w:hAnsi="宋体" w:cs="宋体"/>
                <w:color w:val="000000"/>
                <w:sz w:val="24"/>
                <w:szCs w:val="24"/>
                <w:lang w:val="zh-CN"/>
              </w:rPr>
              <w:t>吉林省四平市铁东区长发路</w:t>
            </w:r>
            <w:r>
              <w:rPr>
                <w:rFonts w:hint="eastAsia" w:ascii="宋体" w:hAnsi="宋体" w:cs="宋体"/>
                <w:color w:val="000000"/>
                <w:sz w:val="24"/>
                <w:szCs w:val="24"/>
              </w:rPr>
              <w:t>1299号</w:t>
            </w:r>
            <w:r>
              <w:rPr>
                <w:rFonts w:hint="eastAsia" w:ascii="宋体" w:hAnsi="宋体" w:cs="宋体"/>
                <w:color w:val="000000"/>
                <w:sz w:val="24"/>
                <w:szCs w:val="24"/>
                <w:lang w:val="zh-CN"/>
              </w:rPr>
              <w:t>吉林工程职业学院</w:t>
            </w:r>
          </w:p>
        </w:tc>
      </w:tr>
      <w:tr w14:paraId="33F6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55AFB979">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5</w:t>
            </w:r>
          </w:p>
        </w:tc>
        <w:tc>
          <w:tcPr>
            <w:tcW w:w="1513" w:type="pct"/>
            <w:vAlign w:val="center"/>
          </w:tcPr>
          <w:p w14:paraId="516B48B3">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供货方式</w:t>
            </w:r>
          </w:p>
        </w:tc>
        <w:tc>
          <w:tcPr>
            <w:tcW w:w="2930" w:type="pct"/>
            <w:vAlign w:val="center"/>
          </w:tcPr>
          <w:p w14:paraId="1BD0CA87">
            <w:pPr>
              <w:spacing w:line="360" w:lineRule="auto"/>
              <w:rPr>
                <w:rFonts w:hint="eastAsia" w:ascii="宋体" w:hAnsi="宋体" w:cs="宋体"/>
                <w:color w:val="000000"/>
                <w:sz w:val="24"/>
                <w:szCs w:val="24"/>
              </w:rPr>
            </w:pPr>
            <w:r>
              <w:rPr>
                <w:rFonts w:hint="eastAsia" w:ascii="宋体" w:hAnsi="宋体" w:cs="宋体"/>
                <w:color w:val="000000"/>
                <w:sz w:val="24"/>
                <w:szCs w:val="24"/>
                <w:lang w:val="zh-CN"/>
              </w:rPr>
              <w:t>中标人负责将货物安全完好运抵交货地点、安装调试并保证验收合格</w:t>
            </w:r>
          </w:p>
        </w:tc>
      </w:tr>
      <w:tr w14:paraId="7FC7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0FA08045">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6</w:t>
            </w:r>
          </w:p>
        </w:tc>
        <w:tc>
          <w:tcPr>
            <w:tcW w:w="1513" w:type="pct"/>
            <w:vAlign w:val="center"/>
          </w:tcPr>
          <w:p w14:paraId="1B6597F5">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资金来源</w:t>
            </w:r>
          </w:p>
        </w:tc>
        <w:tc>
          <w:tcPr>
            <w:tcW w:w="2930" w:type="pct"/>
            <w:vAlign w:val="center"/>
          </w:tcPr>
          <w:p w14:paraId="23835105">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公共财政预算资金</w:t>
            </w:r>
          </w:p>
        </w:tc>
      </w:tr>
      <w:tr w14:paraId="154E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36529C9C">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7</w:t>
            </w:r>
          </w:p>
        </w:tc>
        <w:tc>
          <w:tcPr>
            <w:tcW w:w="1513" w:type="pct"/>
            <w:vAlign w:val="center"/>
          </w:tcPr>
          <w:p w14:paraId="1A4EEE4E">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出资比例</w:t>
            </w:r>
          </w:p>
        </w:tc>
        <w:tc>
          <w:tcPr>
            <w:tcW w:w="2930" w:type="pct"/>
            <w:vAlign w:val="center"/>
          </w:tcPr>
          <w:p w14:paraId="6118F3CF">
            <w:pPr>
              <w:autoSpaceDE w:val="0"/>
              <w:autoSpaceDN w:val="0"/>
              <w:adjustRightInd w:val="0"/>
              <w:spacing w:line="360" w:lineRule="auto"/>
              <w:rPr>
                <w:rFonts w:hint="eastAsia" w:ascii="宋体" w:hAnsi="宋体" w:cs="宋体"/>
                <w:bCs/>
                <w:color w:val="000000"/>
                <w:sz w:val="24"/>
                <w:szCs w:val="24"/>
              </w:rPr>
            </w:pPr>
            <w:r>
              <w:rPr>
                <w:rFonts w:hint="eastAsia" w:ascii="宋体" w:hAnsi="宋体" w:cs="宋体"/>
                <w:bCs/>
                <w:color w:val="000000"/>
                <w:sz w:val="24"/>
                <w:szCs w:val="24"/>
                <w:lang w:val="zh-CN"/>
              </w:rPr>
              <w:t>100%</w:t>
            </w:r>
          </w:p>
        </w:tc>
      </w:tr>
      <w:tr w14:paraId="7F51E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76C7A93E">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8</w:t>
            </w:r>
          </w:p>
        </w:tc>
        <w:tc>
          <w:tcPr>
            <w:tcW w:w="1513" w:type="pct"/>
            <w:vAlign w:val="center"/>
          </w:tcPr>
          <w:p w14:paraId="64B4B305">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资金落实情况</w:t>
            </w:r>
          </w:p>
        </w:tc>
        <w:tc>
          <w:tcPr>
            <w:tcW w:w="2930" w:type="pct"/>
            <w:vAlign w:val="center"/>
          </w:tcPr>
          <w:p w14:paraId="0344BEA1">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已落实</w:t>
            </w:r>
          </w:p>
        </w:tc>
      </w:tr>
      <w:tr w14:paraId="0249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556" w:type="pct"/>
            <w:vAlign w:val="center"/>
          </w:tcPr>
          <w:p w14:paraId="04B02D0D">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9</w:t>
            </w:r>
          </w:p>
        </w:tc>
        <w:tc>
          <w:tcPr>
            <w:tcW w:w="1513" w:type="pct"/>
            <w:vAlign w:val="center"/>
          </w:tcPr>
          <w:p w14:paraId="75BD06FD">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采购需求</w:t>
            </w:r>
          </w:p>
        </w:tc>
        <w:tc>
          <w:tcPr>
            <w:tcW w:w="2930" w:type="pct"/>
            <w:vAlign w:val="center"/>
          </w:tcPr>
          <w:p w14:paraId="6FC20BBF">
            <w:pPr>
              <w:spacing w:line="360" w:lineRule="auto"/>
              <w:rPr>
                <w:rFonts w:hint="eastAsia" w:ascii="宋体" w:hAnsi="宋体" w:cs="宋体"/>
                <w:bCs/>
                <w:color w:val="000000"/>
                <w:sz w:val="24"/>
                <w:szCs w:val="24"/>
              </w:rPr>
            </w:pPr>
            <w:r>
              <w:rPr>
                <w:rFonts w:hint="eastAsia" w:ascii="宋体" w:hAnsi="宋体" w:cs="宋体"/>
                <w:sz w:val="24"/>
                <w:szCs w:val="24"/>
              </w:rPr>
              <w:t>新能源汽车实训设备等</w:t>
            </w:r>
            <w:r>
              <w:rPr>
                <w:rFonts w:hint="eastAsia" w:ascii="宋体" w:hAnsi="宋体" w:cs="宋体"/>
                <w:sz w:val="24"/>
                <w:szCs w:val="24"/>
                <w:lang w:val="zh-CN"/>
              </w:rPr>
              <w:t>，</w:t>
            </w:r>
            <w:r>
              <w:rPr>
                <w:rFonts w:hint="eastAsia" w:ascii="宋体" w:hAnsi="宋体" w:cs="宋体"/>
                <w:sz w:val="24"/>
                <w:szCs w:val="24"/>
              </w:rPr>
              <w:t>具体</w:t>
            </w:r>
            <w:r>
              <w:rPr>
                <w:rFonts w:hint="eastAsia" w:ascii="宋体" w:hAnsi="宋体" w:cs="宋体"/>
                <w:sz w:val="24"/>
                <w:szCs w:val="24"/>
                <w:lang w:val="zh-CN"/>
              </w:rPr>
              <w:t>详见招标文件</w:t>
            </w:r>
          </w:p>
        </w:tc>
      </w:tr>
      <w:tr w14:paraId="088E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5C4D6480">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10</w:t>
            </w:r>
          </w:p>
        </w:tc>
        <w:tc>
          <w:tcPr>
            <w:tcW w:w="1513" w:type="pct"/>
            <w:vAlign w:val="center"/>
          </w:tcPr>
          <w:p w14:paraId="20155E5E">
            <w:pPr>
              <w:autoSpaceDE w:val="0"/>
              <w:autoSpaceDN w:val="0"/>
              <w:adjustRightInd w:val="0"/>
              <w:spacing w:line="360" w:lineRule="auto"/>
              <w:jc w:val="center"/>
              <w:rPr>
                <w:rFonts w:hint="eastAsia" w:ascii="宋体" w:hAnsi="宋体" w:cs="宋体"/>
                <w:bCs/>
                <w:sz w:val="24"/>
                <w:szCs w:val="24"/>
                <w:lang w:val="zh-CN"/>
              </w:rPr>
            </w:pPr>
            <w:r>
              <w:rPr>
                <w:rFonts w:hint="eastAsia" w:ascii="宋体" w:hAnsi="宋体" w:cs="宋体"/>
                <w:bCs/>
                <w:sz w:val="24"/>
                <w:szCs w:val="24"/>
                <w:lang w:val="zh-CN"/>
              </w:rPr>
              <w:t>合同履行期限（</w:t>
            </w:r>
            <w:r>
              <w:rPr>
                <w:rFonts w:hint="eastAsia" w:ascii="宋体" w:hAnsi="宋体" w:cs="宋体"/>
                <w:bCs/>
                <w:sz w:val="24"/>
                <w:szCs w:val="24"/>
              </w:rPr>
              <w:t>供货时间</w:t>
            </w:r>
            <w:r>
              <w:rPr>
                <w:rFonts w:hint="eastAsia" w:ascii="宋体" w:hAnsi="宋体" w:cs="宋体"/>
                <w:bCs/>
                <w:sz w:val="24"/>
                <w:szCs w:val="24"/>
                <w:lang w:val="zh-CN"/>
              </w:rPr>
              <w:t>）</w:t>
            </w:r>
          </w:p>
        </w:tc>
        <w:tc>
          <w:tcPr>
            <w:tcW w:w="2930" w:type="pct"/>
            <w:vAlign w:val="center"/>
          </w:tcPr>
          <w:p w14:paraId="6ED1FAC9">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合同订立后45天</w:t>
            </w:r>
          </w:p>
        </w:tc>
      </w:tr>
      <w:tr w14:paraId="4747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6DEE7348">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11</w:t>
            </w:r>
          </w:p>
        </w:tc>
        <w:tc>
          <w:tcPr>
            <w:tcW w:w="1513" w:type="pct"/>
            <w:vAlign w:val="center"/>
          </w:tcPr>
          <w:p w14:paraId="6FC977CE">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质量要求</w:t>
            </w:r>
          </w:p>
        </w:tc>
        <w:tc>
          <w:tcPr>
            <w:tcW w:w="2930" w:type="pct"/>
            <w:vAlign w:val="center"/>
          </w:tcPr>
          <w:p w14:paraId="1F061459">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符合国家及行业现行质量验收标准。</w:t>
            </w:r>
          </w:p>
        </w:tc>
      </w:tr>
      <w:tr w14:paraId="2665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56" w:type="pct"/>
            <w:vAlign w:val="center"/>
          </w:tcPr>
          <w:p w14:paraId="1569D0E9">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12</w:t>
            </w:r>
          </w:p>
        </w:tc>
        <w:tc>
          <w:tcPr>
            <w:tcW w:w="1513" w:type="pct"/>
            <w:vAlign w:val="center"/>
          </w:tcPr>
          <w:p w14:paraId="17802847">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投标人资质条件、能力和信誉</w:t>
            </w:r>
          </w:p>
        </w:tc>
        <w:tc>
          <w:tcPr>
            <w:tcW w:w="2930" w:type="pct"/>
          </w:tcPr>
          <w:p w14:paraId="2A95F706">
            <w:pPr>
              <w:spacing w:line="360" w:lineRule="auto"/>
              <w:rPr>
                <w:rFonts w:hint="eastAsia" w:ascii="宋体" w:hAnsi="宋体" w:cs="宋体"/>
                <w:color w:val="000000"/>
                <w:sz w:val="24"/>
                <w:szCs w:val="24"/>
              </w:rPr>
            </w:pPr>
            <w:r>
              <w:rPr>
                <w:rFonts w:hint="eastAsia" w:ascii="宋体" w:hAnsi="宋体" w:cs="宋体"/>
                <w:color w:val="000000"/>
                <w:sz w:val="24"/>
                <w:szCs w:val="24"/>
              </w:rPr>
              <w:t>12.1满足《中华人民共和国政府采购法》第二十二条规定</w:t>
            </w:r>
          </w:p>
          <w:p w14:paraId="563262BE">
            <w:pPr>
              <w:spacing w:line="360" w:lineRule="auto"/>
              <w:rPr>
                <w:rFonts w:hint="eastAsia" w:ascii="宋体" w:hAnsi="宋体" w:cs="宋体"/>
                <w:color w:val="000000"/>
                <w:sz w:val="24"/>
                <w:szCs w:val="24"/>
              </w:rPr>
            </w:pPr>
            <w:r>
              <w:rPr>
                <w:rFonts w:hint="eastAsia" w:ascii="宋体" w:hAnsi="宋体" w:cs="宋体"/>
                <w:color w:val="000000"/>
                <w:sz w:val="24"/>
                <w:szCs w:val="24"/>
              </w:rPr>
              <w:t>12.2落实政府采购政策需满足的资格要求：本项目专门面向中小企业采购，详见招标文件。</w:t>
            </w:r>
          </w:p>
          <w:p w14:paraId="6602EA63">
            <w:pPr>
              <w:spacing w:line="360" w:lineRule="auto"/>
              <w:rPr>
                <w:rFonts w:hint="eastAsia" w:ascii="宋体" w:hAnsi="宋体" w:cs="宋体"/>
                <w:color w:val="000000"/>
                <w:sz w:val="24"/>
                <w:szCs w:val="24"/>
              </w:rPr>
            </w:pPr>
            <w:r>
              <w:rPr>
                <w:rFonts w:hint="eastAsia" w:ascii="宋体" w:hAnsi="宋体" w:cs="宋体"/>
                <w:color w:val="000000"/>
                <w:sz w:val="24"/>
                <w:szCs w:val="24"/>
              </w:rPr>
              <w:t>12.3投标人须是在中华人民共和国境内注册，能够独立承担民事责任的法人或其他组织形式</w:t>
            </w:r>
          </w:p>
          <w:p w14:paraId="18E6D03A">
            <w:pPr>
              <w:spacing w:line="360" w:lineRule="auto"/>
              <w:rPr>
                <w:rFonts w:hint="eastAsia" w:ascii="宋体" w:hAnsi="宋体" w:cs="宋体"/>
                <w:color w:val="000000"/>
                <w:sz w:val="24"/>
                <w:szCs w:val="24"/>
              </w:rPr>
            </w:pPr>
            <w:r>
              <w:rPr>
                <w:rFonts w:hint="eastAsia" w:ascii="宋体" w:hAnsi="宋体" w:cs="宋体"/>
                <w:color w:val="000000"/>
                <w:sz w:val="24"/>
                <w:szCs w:val="24"/>
              </w:rPr>
              <w:t>12.4具有良好的商业信誉和健全的财务</w:t>
            </w:r>
            <w:r>
              <w:fldChar w:fldCharType="begin"/>
            </w:r>
            <w:r>
              <w:instrText xml:space="preserve">HYPERLINK "https://baike.so.com/doc/388251-411081.html" \t "_blank"</w:instrText>
            </w:r>
            <w:r>
              <w:fldChar w:fldCharType="separate"/>
            </w:r>
            <w:r>
              <w:rPr>
                <w:rFonts w:hint="eastAsia" w:ascii="宋体" w:hAnsi="宋体" w:cs="宋体"/>
                <w:color w:val="000000"/>
                <w:sz w:val="24"/>
                <w:szCs w:val="24"/>
              </w:rPr>
              <w:t>会计制度</w:t>
            </w:r>
            <w:r>
              <w:fldChar w:fldCharType="end"/>
            </w:r>
            <w:r>
              <w:rPr>
                <w:rFonts w:hint="eastAsia" w:ascii="宋体" w:hAnsi="宋体" w:cs="宋体"/>
                <w:color w:val="000000"/>
                <w:sz w:val="24"/>
                <w:szCs w:val="24"/>
              </w:rPr>
              <w:t>，提供经第三方会计师事务所审计的2023年完整有效的企业财务审计报告或提供其基本开户银行在投标截止日前，六个月内出具的资信证明（银行出具的存款证明不能替代银行资信证明）；</w:t>
            </w:r>
          </w:p>
          <w:p w14:paraId="69CF0900">
            <w:pPr>
              <w:spacing w:line="360" w:lineRule="auto"/>
              <w:rPr>
                <w:rFonts w:hint="eastAsia" w:ascii="宋体" w:hAnsi="宋体" w:cs="宋体"/>
                <w:color w:val="000000"/>
                <w:sz w:val="24"/>
                <w:szCs w:val="24"/>
              </w:rPr>
            </w:pPr>
            <w:r>
              <w:rPr>
                <w:rFonts w:hint="eastAsia" w:ascii="宋体" w:hAnsi="宋体" w:cs="宋体"/>
                <w:color w:val="000000"/>
                <w:sz w:val="24"/>
                <w:szCs w:val="24"/>
              </w:rPr>
              <w:t>12.5具有履行合同所必需的设备和专业技术能力；</w:t>
            </w:r>
          </w:p>
          <w:p w14:paraId="46992D3A">
            <w:pPr>
              <w:spacing w:line="360" w:lineRule="auto"/>
              <w:rPr>
                <w:rFonts w:hint="eastAsia" w:ascii="宋体" w:hAnsi="宋体" w:cs="宋体"/>
                <w:color w:val="000000"/>
                <w:sz w:val="24"/>
                <w:szCs w:val="24"/>
              </w:rPr>
            </w:pPr>
            <w:r>
              <w:rPr>
                <w:rFonts w:hint="eastAsia" w:ascii="宋体" w:hAnsi="宋体" w:cs="宋体"/>
                <w:color w:val="000000"/>
                <w:sz w:val="24"/>
                <w:szCs w:val="24"/>
              </w:rPr>
              <w:t>12.6依法缴纳税收的良好记录，提供投标截止日前，一年内任一月份的缴税凭据或完税证明等；依法免税的，应提供相应文件证明其依法免税；</w:t>
            </w:r>
          </w:p>
          <w:p w14:paraId="7D68D6F1">
            <w:pPr>
              <w:spacing w:line="360" w:lineRule="auto"/>
              <w:rPr>
                <w:rFonts w:hint="eastAsia" w:ascii="宋体" w:hAnsi="宋体" w:cs="宋体"/>
                <w:color w:val="000000"/>
                <w:sz w:val="24"/>
                <w:szCs w:val="24"/>
              </w:rPr>
            </w:pPr>
            <w:r>
              <w:rPr>
                <w:rFonts w:hint="eastAsia" w:ascii="宋体" w:hAnsi="宋体" w:cs="宋体"/>
                <w:color w:val="000000"/>
                <w:sz w:val="24"/>
                <w:szCs w:val="24"/>
              </w:rPr>
              <w:t>12.7依法缴纳社会保障资金的良好记录，提供投标截止日前，一年内任一月份缴纳社会保险的凭据；依法不需要缴纳社会保险的，应提供相应文件证明其依法不需要缴纳社会保险；</w:t>
            </w:r>
          </w:p>
          <w:p w14:paraId="3A0AE9B1">
            <w:pPr>
              <w:spacing w:line="360" w:lineRule="auto"/>
              <w:rPr>
                <w:rFonts w:hint="eastAsia" w:ascii="宋体" w:hAnsi="宋体" w:cs="宋体"/>
                <w:color w:val="000000"/>
                <w:sz w:val="24"/>
                <w:szCs w:val="24"/>
              </w:rPr>
            </w:pPr>
            <w:r>
              <w:rPr>
                <w:rFonts w:hint="eastAsia" w:ascii="宋体" w:hAnsi="宋体" w:cs="宋体"/>
                <w:color w:val="000000"/>
                <w:sz w:val="24"/>
                <w:szCs w:val="24"/>
              </w:rPr>
              <w:t>12.8参加政府采购活动前三年内，在经营活动中没有重大违法记录；</w:t>
            </w:r>
          </w:p>
          <w:p w14:paraId="4FB3F4CE">
            <w:pPr>
              <w:spacing w:line="360" w:lineRule="auto"/>
              <w:rPr>
                <w:rFonts w:hint="eastAsia" w:ascii="宋体" w:hAnsi="宋体" w:cs="宋体"/>
                <w:color w:val="000000"/>
                <w:sz w:val="24"/>
                <w:szCs w:val="24"/>
              </w:rPr>
            </w:pPr>
            <w:r>
              <w:rPr>
                <w:rFonts w:hint="eastAsia" w:ascii="宋体" w:hAnsi="宋体" w:cs="宋体"/>
                <w:color w:val="000000"/>
                <w:sz w:val="24"/>
                <w:szCs w:val="24"/>
              </w:rPr>
              <w:t>12.9拒绝列入政府取消投标资格记录期间的企业或个人投标；</w:t>
            </w:r>
          </w:p>
          <w:p w14:paraId="45C363F1">
            <w:pPr>
              <w:spacing w:line="360" w:lineRule="auto"/>
              <w:rPr>
                <w:rFonts w:hint="eastAsia" w:ascii="宋体" w:hAnsi="宋体" w:cs="宋体"/>
                <w:color w:val="000000"/>
                <w:sz w:val="24"/>
                <w:szCs w:val="24"/>
              </w:rPr>
            </w:pPr>
            <w:r>
              <w:rPr>
                <w:rFonts w:hint="eastAsia" w:ascii="宋体" w:hAnsi="宋体" w:cs="宋体"/>
                <w:color w:val="000000"/>
                <w:sz w:val="24"/>
                <w:szCs w:val="24"/>
              </w:rPr>
              <w:t>12.10投标人不能列入失信被执行人、重大税收违法失信主体、政府采购严重违法失信行为记录名单，查询请依据财库【2016】125号文件。</w:t>
            </w:r>
          </w:p>
          <w:p w14:paraId="73DDFDF9">
            <w:pPr>
              <w:spacing w:line="360" w:lineRule="auto"/>
              <w:rPr>
                <w:rFonts w:hint="eastAsia" w:ascii="宋体" w:hAnsi="宋体" w:cs="宋体"/>
                <w:color w:val="000000"/>
                <w:sz w:val="24"/>
                <w:szCs w:val="24"/>
                <w:lang w:val="zh-CN"/>
              </w:rPr>
            </w:pPr>
            <w:r>
              <w:rPr>
                <w:rFonts w:hint="eastAsia" w:ascii="宋体" w:hAnsi="宋体" w:cs="宋体"/>
                <w:color w:val="000000"/>
                <w:sz w:val="24"/>
                <w:szCs w:val="24"/>
              </w:rPr>
              <w:t>12.11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应当被否决。</w:t>
            </w:r>
          </w:p>
        </w:tc>
      </w:tr>
      <w:tr w14:paraId="628A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11E696CD">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13</w:t>
            </w:r>
          </w:p>
        </w:tc>
        <w:tc>
          <w:tcPr>
            <w:tcW w:w="1513" w:type="pct"/>
            <w:vAlign w:val="center"/>
          </w:tcPr>
          <w:p w14:paraId="5633ED78">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是否接受联合体投标</w:t>
            </w:r>
          </w:p>
        </w:tc>
        <w:tc>
          <w:tcPr>
            <w:tcW w:w="2930" w:type="pct"/>
            <w:vAlign w:val="center"/>
          </w:tcPr>
          <w:p w14:paraId="2129FAE0">
            <w:pPr>
              <w:widowControl/>
              <w:adjustRightInd w:val="0"/>
              <w:spacing w:line="360" w:lineRule="auto"/>
              <w:jc w:val="left"/>
              <w:rPr>
                <w:rFonts w:hint="eastAsia" w:ascii="宋体" w:hAnsi="宋体" w:cs="宋体"/>
                <w:color w:val="000000"/>
                <w:kern w:val="0"/>
                <w:sz w:val="24"/>
                <w:szCs w:val="24"/>
              </w:rPr>
            </w:pPr>
            <w:r>
              <w:rPr>
                <w:rFonts w:hint="eastAsia" w:ascii="宋体" w:hAnsi="宋体" w:cs="宋体"/>
                <w:bCs/>
                <w:color w:val="000000"/>
                <w:sz w:val="24"/>
                <w:szCs w:val="24"/>
                <w:lang w:val="zh-CN"/>
              </w:rPr>
              <w:t>不接受</w:t>
            </w:r>
          </w:p>
        </w:tc>
      </w:tr>
      <w:tr w14:paraId="0D08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66425EE0">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14</w:t>
            </w:r>
          </w:p>
        </w:tc>
        <w:tc>
          <w:tcPr>
            <w:tcW w:w="1513" w:type="pct"/>
            <w:vAlign w:val="center"/>
          </w:tcPr>
          <w:p w14:paraId="1B3E9D6E">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踏勘现场</w:t>
            </w:r>
          </w:p>
        </w:tc>
        <w:tc>
          <w:tcPr>
            <w:tcW w:w="2930" w:type="pct"/>
            <w:tcBorders>
              <w:top w:val="single" w:color="auto" w:sz="4" w:space="0"/>
            </w:tcBorders>
            <w:vAlign w:val="center"/>
          </w:tcPr>
          <w:p w14:paraId="4C2A4792">
            <w:pPr>
              <w:autoSpaceDE w:val="0"/>
              <w:autoSpaceDN w:val="0"/>
              <w:adjustRightInd w:val="0"/>
              <w:spacing w:line="360" w:lineRule="auto"/>
              <w:jc w:val="left"/>
              <w:rPr>
                <w:rFonts w:hint="eastAsia" w:ascii="宋体" w:hAnsi="宋体" w:cs="宋体"/>
                <w:bCs/>
                <w:color w:val="000000"/>
                <w:sz w:val="24"/>
                <w:szCs w:val="24"/>
              </w:rPr>
            </w:pPr>
            <w:r>
              <w:rPr>
                <w:rFonts w:hint="eastAsia" w:ascii="宋体" w:hAnsi="宋体" w:cs="宋体"/>
                <w:bCs/>
                <w:color w:val="000000"/>
                <w:sz w:val="24"/>
                <w:szCs w:val="24"/>
              </w:rPr>
              <w:t>不召开</w:t>
            </w:r>
          </w:p>
        </w:tc>
      </w:tr>
      <w:tr w14:paraId="4EB5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1DC51ABA">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15</w:t>
            </w:r>
          </w:p>
        </w:tc>
        <w:tc>
          <w:tcPr>
            <w:tcW w:w="1513" w:type="pct"/>
            <w:vAlign w:val="center"/>
          </w:tcPr>
          <w:p w14:paraId="2D9F1EBF">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投标预备会</w:t>
            </w:r>
          </w:p>
        </w:tc>
        <w:tc>
          <w:tcPr>
            <w:tcW w:w="2930" w:type="pct"/>
            <w:vAlign w:val="center"/>
          </w:tcPr>
          <w:p w14:paraId="4C6B62AC">
            <w:pPr>
              <w:autoSpaceDE w:val="0"/>
              <w:autoSpaceDN w:val="0"/>
              <w:adjustRightInd w:val="0"/>
              <w:spacing w:line="360" w:lineRule="auto"/>
              <w:jc w:val="left"/>
              <w:rPr>
                <w:rFonts w:hint="eastAsia" w:ascii="宋体" w:hAnsi="宋体" w:cs="宋体"/>
                <w:bCs/>
                <w:color w:val="000000"/>
                <w:sz w:val="24"/>
                <w:szCs w:val="24"/>
              </w:rPr>
            </w:pPr>
            <w:r>
              <w:rPr>
                <w:rFonts w:hint="eastAsia" w:ascii="宋体" w:hAnsi="宋体" w:cs="宋体"/>
                <w:bCs/>
                <w:color w:val="000000"/>
                <w:sz w:val="24"/>
                <w:szCs w:val="24"/>
              </w:rPr>
              <w:t>不召开</w:t>
            </w:r>
          </w:p>
        </w:tc>
      </w:tr>
      <w:tr w14:paraId="6C7DB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56" w:type="pct"/>
            <w:vAlign w:val="center"/>
          </w:tcPr>
          <w:p w14:paraId="1A5D2A63">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16</w:t>
            </w:r>
          </w:p>
        </w:tc>
        <w:tc>
          <w:tcPr>
            <w:tcW w:w="1513" w:type="pct"/>
            <w:shd w:val="clear" w:color="auto" w:fill="auto"/>
            <w:vAlign w:val="center"/>
          </w:tcPr>
          <w:p w14:paraId="032FD110">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分包</w:t>
            </w:r>
          </w:p>
        </w:tc>
        <w:tc>
          <w:tcPr>
            <w:tcW w:w="2930" w:type="pct"/>
            <w:shd w:val="clear" w:color="auto" w:fill="auto"/>
            <w:vAlign w:val="center"/>
          </w:tcPr>
          <w:p w14:paraId="5C741606">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不允许 </w:t>
            </w:r>
          </w:p>
        </w:tc>
      </w:tr>
      <w:tr w14:paraId="6EA4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2E8B1305">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17</w:t>
            </w:r>
          </w:p>
        </w:tc>
        <w:tc>
          <w:tcPr>
            <w:tcW w:w="1513" w:type="pct"/>
            <w:shd w:val="clear" w:color="auto" w:fill="auto"/>
            <w:vAlign w:val="center"/>
          </w:tcPr>
          <w:p w14:paraId="28656E13">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偏离</w:t>
            </w:r>
          </w:p>
        </w:tc>
        <w:tc>
          <w:tcPr>
            <w:tcW w:w="2930" w:type="pct"/>
            <w:shd w:val="clear" w:color="auto" w:fill="auto"/>
            <w:vAlign w:val="center"/>
          </w:tcPr>
          <w:p w14:paraId="563C9EC6">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不允许负偏离</w:t>
            </w:r>
          </w:p>
        </w:tc>
      </w:tr>
      <w:tr w14:paraId="1172F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25364C99">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18</w:t>
            </w:r>
          </w:p>
        </w:tc>
        <w:tc>
          <w:tcPr>
            <w:tcW w:w="1513" w:type="pct"/>
            <w:shd w:val="clear" w:color="auto" w:fill="auto"/>
            <w:vAlign w:val="center"/>
          </w:tcPr>
          <w:p w14:paraId="2F254C58">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构成招标文件的其他材料</w:t>
            </w:r>
          </w:p>
        </w:tc>
        <w:tc>
          <w:tcPr>
            <w:tcW w:w="2930" w:type="pct"/>
            <w:shd w:val="clear" w:color="auto" w:fill="auto"/>
            <w:vAlign w:val="center"/>
          </w:tcPr>
          <w:p w14:paraId="44EE9FBD">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kern w:val="0"/>
                <w:sz w:val="24"/>
                <w:szCs w:val="24"/>
              </w:rPr>
              <w:t>招标文件的修改、补充文件等</w:t>
            </w:r>
          </w:p>
        </w:tc>
      </w:tr>
      <w:tr w14:paraId="4966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01C80E43">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19</w:t>
            </w:r>
          </w:p>
        </w:tc>
        <w:tc>
          <w:tcPr>
            <w:tcW w:w="1513" w:type="pct"/>
            <w:shd w:val="clear" w:color="auto" w:fill="auto"/>
            <w:vAlign w:val="center"/>
          </w:tcPr>
          <w:p w14:paraId="72D7D037">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投标截止时间</w:t>
            </w:r>
          </w:p>
        </w:tc>
        <w:tc>
          <w:tcPr>
            <w:tcW w:w="2930" w:type="pct"/>
            <w:shd w:val="clear" w:color="auto" w:fill="auto"/>
            <w:vAlign w:val="center"/>
          </w:tcPr>
          <w:p w14:paraId="5C5BD0CE">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color w:val="000000"/>
                <w:sz w:val="24"/>
                <w:szCs w:val="24"/>
                <w:highlight w:val="none"/>
              </w:rPr>
              <w:t>2025年</w:t>
            </w:r>
            <w:r>
              <w:rPr>
                <w:rFonts w:hint="eastAsia" w:ascii="宋体" w:hAnsi="宋体" w:cs="宋体"/>
                <w:bCs/>
                <w:color w:val="000000"/>
                <w:sz w:val="24"/>
                <w:szCs w:val="24"/>
                <w:highlight w:val="none"/>
                <w:lang w:val="en-US" w:eastAsia="zh-CN"/>
              </w:rPr>
              <w:t>5</w:t>
            </w:r>
            <w:r>
              <w:rPr>
                <w:rFonts w:hint="eastAsia" w:ascii="宋体" w:hAnsi="宋体" w:cs="宋体"/>
                <w:bCs/>
                <w:color w:val="000000"/>
                <w:sz w:val="24"/>
                <w:szCs w:val="24"/>
                <w:highlight w:val="none"/>
              </w:rPr>
              <w:t>月</w:t>
            </w:r>
            <w:r>
              <w:rPr>
                <w:rFonts w:hint="eastAsia" w:ascii="宋体" w:hAnsi="宋体" w:cs="宋体"/>
                <w:bCs/>
                <w:color w:val="000000"/>
                <w:sz w:val="24"/>
                <w:szCs w:val="24"/>
                <w:highlight w:val="none"/>
                <w:lang w:val="en-US" w:eastAsia="zh-CN"/>
              </w:rPr>
              <w:t>9</w:t>
            </w:r>
            <w:r>
              <w:rPr>
                <w:rFonts w:hint="eastAsia" w:ascii="宋体" w:hAnsi="宋体" w:cs="宋体"/>
                <w:bCs/>
                <w:color w:val="000000"/>
                <w:sz w:val="24"/>
                <w:szCs w:val="24"/>
                <w:highlight w:val="none"/>
              </w:rPr>
              <w:t>日</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时</w:t>
            </w:r>
            <w:r>
              <w:rPr>
                <w:rFonts w:hint="eastAsia" w:ascii="宋体" w:hAnsi="宋体" w:cs="宋体"/>
                <w:bCs/>
                <w:color w:val="000000"/>
                <w:sz w:val="24"/>
                <w:szCs w:val="24"/>
                <w:highlight w:val="none"/>
                <w:lang w:val="en-US" w:eastAsia="zh-CN"/>
              </w:rPr>
              <w:t>0</w:t>
            </w:r>
            <w:r>
              <w:rPr>
                <w:rFonts w:hint="eastAsia" w:ascii="宋体" w:hAnsi="宋体" w:cs="宋体"/>
                <w:bCs/>
                <w:color w:val="000000"/>
                <w:sz w:val="24"/>
                <w:szCs w:val="24"/>
                <w:highlight w:val="none"/>
              </w:rPr>
              <w:t>0分</w:t>
            </w:r>
            <w:r>
              <w:rPr>
                <w:rFonts w:hint="eastAsia" w:ascii="宋体" w:hAnsi="宋体" w:cs="宋体"/>
                <w:bCs/>
                <w:sz w:val="24"/>
                <w:szCs w:val="24"/>
                <w:lang w:val="zh-CN"/>
              </w:rPr>
              <w:t>（北京时间）</w:t>
            </w:r>
          </w:p>
        </w:tc>
      </w:tr>
      <w:tr w14:paraId="3C00B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7848F51D">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20</w:t>
            </w:r>
          </w:p>
        </w:tc>
        <w:tc>
          <w:tcPr>
            <w:tcW w:w="1513" w:type="pct"/>
            <w:shd w:val="clear" w:color="auto" w:fill="auto"/>
            <w:vAlign w:val="center"/>
          </w:tcPr>
          <w:p w14:paraId="21F057F1">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接收询问和质疑的联系方式 </w:t>
            </w:r>
          </w:p>
        </w:tc>
        <w:tc>
          <w:tcPr>
            <w:tcW w:w="2930" w:type="pct"/>
            <w:shd w:val="clear" w:color="auto" w:fill="auto"/>
            <w:vAlign w:val="center"/>
          </w:tcPr>
          <w:p w14:paraId="1C6A7C83">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rPr>
              <w:t>公司名称</w:t>
            </w:r>
            <w:r>
              <w:rPr>
                <w:rFonts w:hint="eastAsia" w:ascii="宋体" w:hAnsi="宋体" w:cs="宋体"/>
                <w:bCs/>
                <w:sz w:val="24"/>
                <w:szCs w:val="24"/>
                <w:lang w:val="zh-CN"/>
              </w:rPr>
              <w:t>：</w:t>
            </w:r>
            <w:r>
              <w:rPr>
                <w:rFonts w:hint="eastAsia" w:ascii="宋体" w:hAnsi="宋体" w:cs="宋体"/>
                <w:sz w:val="24"/>
                <w:szCs w:val="24"/>
                <w:lang w:val="zh-CN"/>
              </w:rPr>
              <w:t>鼎正众创建设集团有限公司</w:t>
            </w:r>
          </w:p>
          <w:p w14:paraId="3C377DC4">
            <w:pPr>
              <w:autoSpaceDE w:val="0"/>
              <w:autoSpaceDN w:val="0"/>
              <w:adjustRightInd w:val="0"/>
              <w:spacing w:line="360" w:lineRule="auto"/>
              <w:rPr>
                <w:rFonts w:hint="eastAsia" w:ascii="宋体" w:hAnsi="宋体" w:cs="宋体"/>
                <w:bCs/>
                <w:sz w:val="24"/>
                <w:szCs w:val="24"/>
                <w:lang w:val="zh-CN"/>
              </w:rPr>
            </w:pPr>
            <w:r>
              <w:rPr>
                <w:rFonts w:hint="eastAsia" w:ascii="宋体" w:hAnsi="宋体" w:cs="宋体"/>
                <w:bCs/>
                <w:sz w:val="24"/>
                <w:szCs w:val="24"/>
                <w:lang w:val="zh-CN"/>
              </w:rPr>
              <w:t>联系电话：</w:t>
            </w:r>
            <w:r>
              <w:rPr>
                <w:rFonts w:hint="eastAsia" w:ascii="宋体" w:hAnsi="宋体" w:cs="宋体"/>
                <w:bCs/>
                <w:sz w:val="24"/>
                <w:szCs w:val="24"/>
              </w:rPr>
              <w:t>0431-88664456</w:t>
            </w:r>
            <w:r>
              <w:rPr>
                <w:rFonts w:hint="eastAsia" w:ascii="宋体" w:hAnsi="宋体" w:cs="宋体"/>
                <w:bCs/>
                <w:sz w:val="24"/>
                <w:szCs w:val="24"/>
                <w:lang w:val="zh-CN"/>
              </w:rPr>
              <w:t xml:space="preserve"> </w:t>
            </w:r>
          </w:p>
          <w:p w14:paraId="37E08951">
            <w:pPr>
              <w:autoSpaceDE w:val="0"/>
              <w:autoSpaceDN w:val="0"/>
              <w:adjustRightInd w:val="0"/>
              <w:spacing w:line="360" w:lineRule="auto"/>
              <w:rPr>
                <w:rFonts w:hint="eastAsia" w:ascii="宋体" w:hAnsi="宋体" w:cs="宋体"/>
                <w:bCs/>
                <w:sz w:val="24"/>
                <w:szCs w:val="24"/>
              </w:rPr>
            </w:pPr>
            <w:r>
              <w:rPr>
                <w:rFonts w:hint="eastAsia" w:ascii="宋体" w:hAnsi="宋体" w:cs="宋体"/>
                <w:bCs/>
                <w:sz w:val="24"/>
                <w:szCs w:val="24"/>
              </w:rPr>
              <w:t>联系人：孙小英</w:t>
            </w:r>
          </w:p>
        </w:tc>
      </w:tr>
      <w:tr w14:paraId="29F9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03466699">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21</w:t>
            </w:r>
          </w:p>
        </w:tc>
        <w:tc>
          <w:tcPr>
            <w:tcW w:w="1513" w:type="pct"/>
            <w:shd w:val="clear" w:color="auto" w:fill="auto"/>
            <w:vAlign w:val="center"/>
          </w:tcPr>
          <w:p w14:paraId="3EDA9AE7">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投标有效期</w:t>
            </w:r>
          </w:p>
        </w:tc>
        <w:tc>
          <w:tcPr>
            <w:tcW w:w="2930" w:type="pct"/>
            <w:shd w:val="clear" w:color="auto" w:fill="auto"/>
            <w:vAlign w:val="center"/>
          </w:tcPr>
          <w:p w14:paraId="637566E9">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投标截止之日后90天（日历天），从投标截止之日算起。</w:t>
            </w:r>
          </w:p>
        </w:tc>
      </w:tr>
      <w:tr w14:paraId="52D6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72D590A5">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22</w:t>
            </w:r>
          </w:p>
        </w:tc>
        <w:tc>
          <w:tcPr>
            <w:tcW w:w="1513" w:type="pct"/>
            <w:shd w:val="clear" w:color="auto" w:fill="auto"/>
            <w:vAlign w:val="center"/>
          </w:tcPr>
          <w:p w14:paraId="061AF11F">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投标保证金</w:t>
            </w:r>
          </w:p>
        </w:tc>
        <w:tc>
          <w:tcPr>
            <w:tcW w:w="2930" w:type="pct"/>
            <w:shd w:val="clear" w:color="auto" w:fill="auto"/>
            <w:vAlign w:val="center"/>
          </w:tcPr>
          <w:p w14:paraId="52A0EA62">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人民币</w:t>
            </w:r>
            <w:r>
              <w:rPr>
                <w:rFonts w:hint="eastAsia" w:ascii="宋体" w:hAnsi="宋体" w:cs="宋体"/>
                <w:bCs/>
                <w:color w:val="000000"/>
                <w:sz w:val="24"/>
                <w:szCs w:val="24"/>
              </w:rPr>
              <w:t>50000</w:t>
            </w:r>
            <w:r>
              <w:rPr>
                <w:rFonts w:hint="eastAsia" w:ascii="宋体" w:hAnsi="宋体" w:cs="宋体"/>
                <w:bCs/>
                <w:color w:val="000000"/>
                <w:sz w:val="24"/>
                <w:szCs w:val="24"/>
                <w:lang w:val="zh-CN"/>
              </w:rPr>
              <w:t>元，递交形式：投标保证金应当</w:t>
            </w:r>
            <w:r>
              <w:rPr>
                <w:rFonts w:hint="eastAsia" w:ascii="宋体" w:hAnsi="宋体" w:cs="宋体"/>
                <w:bCs/>
                <w:color w:val="000000"/>
                <w:sz w:val="24"/>
                <w:szCs w:val="24"/>
              </w:rPr>
              <w:t>以</w:t>
            </w:r>
            <w:r>
              <w:rPr>
                <w:rFonts w:hint="eastAsia" w:ascii="宋体" w:hAnsi="宋体" w:cs="宋体"/>
                <w:bCs/>
                <w:color w:val="000000"/>
                <w:sz w:val="24"/>
                <w:szCs w:val="24"/>
                <w:lang w:val="zh-CN"/>
              </w:rPr>
              <w:t>支票、汇票、本票、</w:t>
            </w:r>
            <w:r>
              <w:rPr>
                <w:rFonts w:ascii="宋体" w:hAnsi="宋体" w:cs="宋体"/>
                <w:spacing w:val="-4"/>
                <w:sz w:val="24"/>
                <w:szCs w:val="24"/>
              </w:rPr>
              <w:t>网</w:t>
            </w:r>
            <w:r>
              <w:rPr>
                <w:rFonts w:ascii="宋体" w:hAnsi="宋体" w:cs="宋体"/>
                <w:spacing w:val="-2"/>
                <w:sz w:val="24"/>
                <w:szCs w:val="24"/>
              </w:rPr>
              <w:t>上银行支付</w:t>
            </w:r>
            <w:r>
              <w:rPr>
                <w:rFonts w:hint="eastAsia" w:ascii="宋体" w:hAnsi="宋体" w:cs="宋体"/>
                <w:bCs/>
                <w:color w:val="000000"/>
                <w:sz w:val="24"/>
                <w:szCs w:val="24"/>
                <w:lang w:val="zh-CN"/>
              </w:rPr>
              <w:t>或者金融机构、担保机构出具的保函</w:t>
            </w:r>
            <w:r>
              <w:rPr>
                <w:rFonts w:hint="eastAsia" w:ascii="宋体" w:hAnsi="宋体" w:cs="宋体"/>
                <w:bCs/>
                <w:color w:val="000000"/>
                <w:sz w:val="24"/>
                <w:szCs w:val="24"/>
              </w:rPr>
              <w:t>等形式提交</w:t>
            </w:r>
            <w:r>
              <w:rPr>
                <w:rFonts w:hint="eastAsia" w:ascii="宋体" w:hAnsi="宋体" w:cs="宋体"/>
                <w:bCs/>
                <w:color w:val="000000"/>
                <w:sz w:val="24"/>
                <w:szCs w:val="24"/>
                <w:lang w:val="zh-CN"/>
              </w:rPr>
              <w:t>。</w:t>
            </w:r>
          </w:p>
          <w:p w14:paraId="024C8D51">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账户名称：鼎正众创建设集团有限公司吉林省分公司</w:t>
            </w:r>
          </w:p>
          <w:p w14:paraId="4DD61C7D">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开户账号：61040078801300000649</w:t>
            </w:r>
          </w:p>
          <w:p w14:paraId="2A0FCCDE">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开户银行：上海浦东发展银行股份有限公司长春分行</w:t>
            </w:r>
          </w:p>
          <w:p w14:paraId="3B3328E1">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1、投标人以</w:t>
            </w:r>
            <w:r>
              <w:rPr>
                <w:rFonts w:ascii="宋体" w:hAnsi="宋体" w:cs="宋体"/>
                <w:spacing w:val="-4"/>
                <w:sz w:val="24"/>
                <w:szCs w:val="24"/>
              </w:rPr>
              <w:t>网</w:t>
            </w:r>
            <w:r>
              <w:rPr>
                <w:rFonts w:ascii="宋体" w:hAnsi="宋体" w:cs="宋体"/>
                <w:spacing w:val="-2"/>
                <w:sz w:val="24"/>
                <w:szCs w:val="24"/>
              </w:rPr>
              <w:t>上银行支付</w:t>
            </w:r>
            <w:r>
              <w:rPr>
                <w:rFonts w:hint="eastAsia" w:ascii="宋体" w:hAnsi="宋体" w:cs="宋体"/>
                <w:bCs/>
                <w:color w:val="000000"/>
                <w:sz w:val="24"/>
                <w:szCs w:val="24"/>
                <w:lang w:val="zh-CN"/>
              </w:rPr>
              <w:t>或支票形式提交的投标保证金应当从投标单位的基本账户转出（投标人应于</w:t>
            </w:r>
            <w:r>
              <w:rPr>
                <w:rFonts w:hint="eastAsia" w:ascii="宋体" w:hAnsi="宋体" w:cs="宋体"/>
                <w:bCs/>
                <w:color w:val="000000"/>
                <w:sz w:val="24"/>
                <w:szCs w:val="24"/>
              </w:rPr>
              <w:t>开标</w:t>
            </w:r>
            <w:r>
              <w:rPr>
                <w:rFonts w:hint="eastAsia" w:ascii="宋体" w:hAnsi="宋体" w:cs="宋体"/>
                <w:bCs/>
                <w:color w:val="000000"/>
                <w:sz w:val="24"/>
                <w:szCs w:val="24"/>
                <w:lang w:val="zh-CN"/>
              </w:rPr>
              <w:t>前递交，以到账为准）。</w:t>
            </w:r>
          </w:p>
          <w:p w14:paraId="34B41D79">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2、投标人以</w:t>
            </w:r>
            <w:r>
              <w:rPr>
                <w:rFonts w:ascii="宋体" w:hAnsi="宋体" w:cs="宋体"/>
                <w:spacing w:val="2"/>
                <w:sz w:val="24"/>
                <w:szCs w:val="24"/>
              </w:rPr>
              <w:t>金融机构、担保机构</w:t>
            </w:r>
            <w:r>
              <w:rPr>
                <w:rFonts w:hint="eastAsia" w:ascii="宋体" w:hAnsi="宋体" w:cs="宋体"/>
                <w:bCs/>
                <w:color w:val="000000"/>
                <w:sz w:val="24"/>
                <w:szCs w:val="24"/>
                <w:lang w:val="zh-CN"/>
              </w:rPr>
              <w:t>方式提交</w:t>
            </w:r>
            <w:r>
              <w:rPr>
                <w:rFonts w:hint="eastAsia" w:ascii="宋体" w:hAnsi="宋体" w:cs="宋体"/>
                <w:bCs/>
                <w:color w:val="000000"/>
                <w:sz w:val="24"/>
                <w:szCs w:val="24"/>
              </w:rPr>
              <w:t>投标</w:t>
            </w:r>
            <w:r>
              <w:rPr>
                <w:rFonts w:hint="eastAsia" w:ascii="宋体" w:hAnsi="宋体" w:cs="宋体"/>
                <w:bCs/>
                <w:color w:val="000000"/>
                <w:sz w:val="24"/>
                <w:szCs w:val="24"/>
                <w:lang w:val="zh-CN"/>
              </w:rPr>
              <w:t>保证金的，须将保函原件在提交</w:t>
            </w:r>
            <w:r>
              <w:rPr>
                <w:rFonts w:hint="eastAsia" w:ascii="宋体" w:hAnsi="宋体" w:cs="宋体"/>
                <w:bCs/>
                <w:color w:val="000000"/>
                <w:sz w:val="24"/>
                <w:szCs w:val="24"/>
              </w:rPr>
              <w:t>投标</w:t>
            </w:r>
            <w:r>
              <w:rPr>
                <w:rFonts w:hint="eastAsia" w:ascii="宋体" w:hAnsi="宋体" w:cs="宋体"/>
                <w:bCs/>
                <w:color w:val="000000"/>
                <w:sz w:val="24"/>
                <w:szCs w:val="24"/>
                <w:lang w:val="zh-CN"/>
              </w:rPr>
              <w:t>文件截止时间前送达到采购代理机构（以便核查），并将复印件装入响应文件中。</w:t>
            </w:r>
          </w:p>
          <w:p w14:paraId="7CDB8DB6">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3、未按招标文件要求提交</w:t>
            </w:r>
            <w:r>
              <w:rPr>
                <w:rFonts w:hint="eastAsia" w:ascii="宋体" w:hAnsi="宋体" w:cs="宋体"/>
                <w:bCs/>
                <w:color w:val="000000"/>
                <w:sz w:val="24"/>
                <w:szCs w:val="24"/>
              </w:rPr>
              <w:t>投标</w:t>
            </w:r>
            <w:r>
              <w:rPr>
                <w:rFonts w:hint="eastAsia" w:ascii="宋体" w:hAnsi="宋体" w:cs="宋体"/>
                <w:bCs/>
                <w:color w:val="000000"/>
                <w:sz w:val="24"/>
                <w:szCs w:val="24"/>
                <w:lang w:val="zh-CN"/>
              </w:rPr>
              <w:t>保证金，</w:t>
            </w:r>
            <w:r>
              <w:rPr>
                <w:rFonts w:ascii="宋体" w:hAnsi="宋体" w:cs="宋体"/>
                <w:spacing w:val="1"/>
                <w:sz w:val="24"/>
                <w:szCs w:val="24"/>
              </w:rPr>
              <w:t>或</w:t>
            </w:r>
            <w:r>
              <w:rPr>
                <w:rFonts w:ascii="宋体" w:hAnsi="宋体" w:cs="宋体"/>
                <w:sz w:val="24"/>
                <w:szCs w:val="24"/>
              </w:rPr>
              <w:t>者</w:t>
            </w:r>
            <w:r>
              <w:rPr>
                <w:rFonts w:ascii="宋体" w:hAnsi="宋体" w:cs="宋体"/>
                <w:spacing w:val="2"/>
                <w:sz w:val="24"/>
                <w:szCs w:val="24"/>
              </w:rPr>
              <w:t>由于到账时间晚于投标截止时间的，</w:t>
            </w:r>
            <w:r>
              <w:rPr>
                <w:rFonts w:ascii="宋体" w:hAnsi="宋体" w:cs="宋体"/>
                <w:spacing w:val="1"/>
                <w:sz w:val="24"/>
                <w:szCs w:val="24"/>
              </w:rPr>
              <w:t>或</w:t>
            </w:r>
            <w:r>
              <w:rPr>
                <w:rFonts w:ascii="宋体" w:hAnsi="宋体" w:cs="宋体"/>
                <w:sz w:val="24"/>
                <w:szCs w:val="24"/>
              </w:rPr>
              <w:t>者</w:t>
            </w:r>
            <w:r>
              <w:rPr>
                <w:rFonts w:ascii="宋体" w:hAnsi="宋体" w:cs="宋体"/>
                <w:spacing w:val="-1"/>
                <w:sz w:val="24"/>
                <w:szCs w:val="24"/>
              </w:rPr>
              <w:t>票据错误、印鉴不清</w:t>
            </w:r>
            <w:r>
              <w:rPr>
                <w:rFonts w:ascii="宋体" w:hAnsi="宋体" w:cs="宋体"/>
                <w:sz w:val="24"/>
                <w:szCs w:val="24"/>
              </w:rPr>
              <w:t>等原因导致不能到账的</w:t>
            </w:r>
            <w:r>
              <w:rPr>
                <w:rFonts w:hint="eastAsia" w:ascii="宋体" w:hAnsi="宋体" w:cs="宋体"/>
                <w:bCs/>
                <w:color w:val="000000"/>
                <w:sz w:val="24"/>
                <w:szCs w:val="24"/>
                <w:lang w:val="zh-CN"/>
              </w:rPr>
              <w:t>，按照无效投标处理。</w:t>
            </w:r>
          </w:p>
          <w:p w14:paraId="0DD86865">
            <w:pPr>
              <w:autoSpaceDE w:val="0"/>
              <w:autoSpaceDN w:val="0"/>
              <w:adjustRightIn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4.电子化交易系统与吉林省政府采购数字金融服务平台对接，支持供应商以电子保函形式缴纳投标（响应）保证金</w:t>
            </w:r>
          </w:p>
          <w:p w14:paraId="4229A61C">
            <w:pPr>
              <w:autoSpaceDE w:val="0"/>
              <w:autoSpaceDN w:val="0"/>
              <w:adjustRightInd w:val="0"/>
              <w:spacing w:line="360" w:lineRule="auto"/>
              <w:rPr>
                <w:rFonts w:hint="eastAsia" w:ascii="宋体" w:hAnsi="宋体" w:cs="宋体"/>
                <w:bCs/>
                <w:color w:val="000000"/>
                <w:sz w:val="24"/>
                <w:szCs w:val="24"/>
              </w:rPr>
            </w:pPr>
            <w:r>
              <w:rPr>
                <w:rFonts w:hint="eastAsia" w:ascii="宋体" w:hAnsi="宋体" w:cs="宋体"/>
                <w:bCs/>
                <w:color w:val="000000"/>
                <w:sz w:val="24"/>
                <w:szCs w:val="24"/>
                <w:lang w:val="zh-CN"/>
              </w:rPr>
              <w:t>注</w:t>
            </w:r>
            <w:r>
              <w:rPr>
                <w:rFonts w:hint="eastAsia" w:ascii="宋体" w:hAnsi="宋体" w:cs="宋体"/>
                <w:bCs/>
                <w:color w:val="000000"/>
                <w:sz w:val="24"/>
                <w:szCs w:val="24"/>
              </w:rPr>
              <w:t>：</w:t>
            </w:r>
            <w:r>
              <w:rPr>
                <w:rFonts w:hint="eastAsia" w:ascii="宋体" w:hAnsi="宋体" w:cs="宋体"/>
                <w:bCs/>
                <w:color w:val="000000"/>
                <w:sz w:val="24"/>
                <w:szCs w:val="24"/>
                <w:lang w:val="zh-CN"/>
              </w:rPr>
              <w:t>投标人应在电汇或转账凭证上明确用途、投标项目名称</w:t>
            </w:r>
            <w:r>
              <w:rPr>
                <w:rFonts w:hint="eastAsia" w:ascii="宋体" w:hAnsi="宋体" w:cs="宋体"/>
                <w:bCs/>
                <w:color w:val="000000"/>
                <w:sz w:val="24"/>
                <w:szCs w:val="24"/>
              </w:rPr>
              <w:t>，</w:t>
            </w:r>
            <w:r>
              <w:rPr>
                <w:rFonts w:hint="eastAsia" w:ascii="宋体" w:hAnsi="宋体" w:cs="宋体"/>
                <w:bCs/>
                <w:color w:val="000000"/>
                <w:sz w:val="24"/>
                <w:szCs w:val="24"/>
                <w:lang w:val="zh-CN"/>
              </w:rPr>
              <w:t>并于提交响应文件截止时间前将电汇或转账凭证、基本账户信息</w:t>
            </w:r>
            <w:r>
              <w:rPr>
                <w:rFonts w:hint="eastAsia" w:ascii="宋体" w:hAnsi="宋体" w:cs="宋体"/>
                <w:bCs/>
                <w:color w:val="000000"/>
                <w:sz w:val="24"/>
                <w:szCs w:val="24"/>
              </w:rPr>
              <w:t>（</w:t>
            </w:r>
            <w:r>
              <w:rPr>
                <w:rFonts w:hint="eastAsia" w:ascii="宋体" w:hAnsi="宋体" w:cs="宋体"/>
                <w:bCs/>
                <w:color w:val="000000"/>
                <w:sz w:val="24"/>
                <w:szCs w:val="24"/>
                <w:lang w:val="zh-CN"/>
              </w:rPr>
              <w:t>完整清晰</w:t>
            </w:r>
            <w:r>
              <w:rPr>
                <w:rFonts w:hint="eastAsia" w:ascii="宋体" w:hAnsi="宋体" w:cs="宋体"/>
                <w:bCs/>
                <w:color w:val="000000"/>
                <w:sz w:val="24"/>
                <w:szCs w:val="24"/>
              </w:rPr>
              <w:t>）</w:t>
            </w:r>
            <w:r>
              <w:rPr>
                <w:rFonts w:hint="eastAsia" w:ascii="宋体" w:hAnsi="宋体" w:cs="宋体"/>
                <w:bCs/>
                <w:color w:val="000000"/>
                <w:sz w:val="24"/>
                <w:szCs w:val="24"/>
                <w:lang w:val="zh-CN"/>
              </w:rPr>
              <w:t>以电子档扫描发送到采购代理机构</w:t>
            </w:r>
            <w:r>
              <w:fldChar w:fldCharType="begin"/>
            </w:r>
            <w:r>
              <w:instrText xml:space="preserve"> HYPERLINK "mailto:邮箱1171900302@qq.com" </w:instrText>
            </w:r>
            <w:r>
              <w:fldChar w:fldCharType="separate"/>
            </w:r>
            <w:r>
              <w:rPr>
                <w:rFonts w:hint="eastAsia" w:ascii="宋体" w:hAnsi="宋体" w:cs="宋体"/>
                <w:bCs/>
                <w:color w:val="000000"/>
                <w:sz w:val="24"/>
                <w:szCs w:val="24"/>
                <w:lang w:val="zh-CN"/>
              </w:rPr>
              <w:t>邮箱</w:t>
            </w:r>
            <w:r>
              <w:rPr>
                <w:rFonts w:hint="eastAsia" w:ascii="宋体" w:hAnsi="宋体" w:cs="宋体"/>
                <w:bCs/>
                <w:color w:val="000000"/>
                <w:sz w:val="24"/>
                <w:szCs w:val="24"/>
              </w:rPr>
              <w:t>3475721792@qq.com</w:t>
            </w:r>
            <w:r>
              <w:rPr>
                <w:rFonts w:hint="eastAsia" w:ascii="宋体" w:hAnsi="宋体" w:cs="宋体"/>
                <w:bCs/>
                <w:color w:val="000000"/>
                <w:sz w:val="24"/>
                <w:szCs w:val="24"/>
              </w:rPr>
              <w:fldChar w:fldCharType="end"/>
            </w:r>
            <w:r>
              <w:rPr>
                <w:rFonts w:hint="eastAsia" w:ascii="宋体" w:hAnsi="宋体" w:cs="宋体"/>
                <w:bCs/>
                <w:color w:val="000000"/>
                <w:sz w:val="24"/>
                <w:szCs w:val="24"/>
                <w:lang w:val="zh-CN"/>
              </w:rPr>
              <w:t>。</w:t>
            </w:r>
          </w:p>
        </w:tc>
      </w:tr>
      <w:tr w14:paraId="149CA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0484540D">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23</w:t>
            </w:r>
          </w:p>
        </w:tc>
        <w:tc>
          <w:tcPr>
            <w:tcW w:w="1513" w:type="pct"/>
            <w:shd w:val="clear" w:color="auto" w:fill="auto"/>
            <w:vAlign w:val="center"/>
          </w:tcPr>
          <w:p w14:paraId="63991FEE">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是否允许递交备选投标方案</w:t>
            </w:r>
          </w:p>
        </w:tc>
        <w:tc>
          <w:tcPr>
            <w:tcW w:w="2930" w:type="pct"/>
            <w:shd w:val="clear" w:color="auto" w:fill="auto"/>
            <w:vAlign w:val="center"/>
          </w:tcPr>
          <w:p w14:paraId="046AE9EC">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不允许</w:t>
            </w:r>
          </w:p>
        </w:tc>
      </w:tr>
      <w:tr w14:paraId="0A75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556" w:type="pct"/>
            <w:vAlign w:val="center"/>
          </w:tcPr>
          <w:p w14:paraId="5954FAD1">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24</w:t>
            </w:r>
          </w:p>
        </w:tc>
        <w:tc>
          <w:tcPr>
            <w:tcW w:w="1513" w:type="pct"/>
            <w:shd w:val="clear" w:color="auto" w:fill="auto"/>
            <w:vAlign w:val="center"/>
          </w:tcPr>
          <w:p w14:paraId="2C2705C9">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rPr>
              <w:t>投标文件</w:t>
            </w:r>
            <w:r>
              <w:rPr>
                <w:rFonts w:hint="eastAsia" w:ascii="宋体" w:hAnsi="宋体" w:cs="宋体"/>
                <w:bCs/>
                <w:color w:val="000000"/>
                <w:sz w:val="24"/>
                <w:szCs w:val="24"/>
                <w:lang w:val="zh-CN"/>
              </w:rPr>
              <w:t>盖章要求</w:t>
            </w:r>
          </w:p>
        </w:tc>
        <w:tc>
          <w:tcPr>
            <w:tcW w:w="2930" w:type="pct"/>
            <w:shd w:val="clear" w:color="auto" w:fill="auto"/>
            <w:vAlign w:val="center"/>
          </w:tcPr>
          <w:p w14:paraId="7015AC09">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投标文件按“第六章投标文件格式”中提供的格式要求盖章。公章采用单位CA章或单位公章。</w:t>
            </w:r>
          </w:p>
        </w:tc>
      </w:tr>
      <w:tr w14:paraId="30FA8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62A2D61F">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25</w:t>
            </w:r>
          </w:p>
        </w:tc>
        <w:tc>
          <w:tcPr>
            <w:tcW w:w="1513" w:type="pct"/>
            <w:shd w:val="clear" w:color="auto" w:fill="auto"/>
            <w:vAlign w:val="center"/>
          </w:tcPr>
          <w:p w14:paraId="1BFD5C33">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电子投标文件的上传和递交</w:t>
            </w:r>
          </w:p>
          <w:p w14:paraId="61C6CA72">
            <w:pPr>
              <w:autoSpaceDE w:val="0"/>
              <w:autoSpaceDN w:val="0"/>
              <w:adjustRightInd w:val="0"/>
              <w:spacing w:line="360" w:lineRule="auto"/>
              <w:jc w:val="center"/>
              <w:rPr>
                <w:rFonts w:hint="eastAsia" w:ascii="宋体" w:hAnsi="宋体" w:cs="宋体"/>
                <w:bCs/>
                <w:color w:val="000000"/>
                <w:sz w:val="24"/>
                <w:szCs w:val="24"/>
                <w:lang w:val="zh-CN"/>
              </w:rPr>
            </w:pPr>
          </w:p>
        </w:tc>
        <w:tc>
          <w:tcPr>
            <w:tcW w:w="2930" w:type="pct"/>
            <w:shd w:val="clear" w:color="auto" w:fill="auto"/>
            <w:vAlign w:val="center"/>
          </w:tcPr>
          <w:p w14:paraId="225160EA">
            <w:pPr>
              <w:widowControl/>
              <w:jc w:val="left"/>
              <w:rPr>
                <w:rFonts w:hint="eastAsia" w:ascii="宋体" w:hAnsi="宋体" w:cs="宋体"/>
              </w:rPr>
            </w:pPr>
            <w:r>
              <w:rPr>
                <w:rFonts w:hint="eastAsia" w:ascii="宋体" w:hAnsi="宋体" w:cs="宋体"/>
                <w:color w:val="000000"/>
                <w:kern w:val="0"/>
                <w:sz w:val="24"/>
                <w:szCs w:val="24"/>
                <w:lang w:bidi="ar"/>
              </w:rPr>
              <w:t xml:space="preserve">1.“电子加密投标文件”的上传、递交，具体详见《政府采购项目电子交易管理操作指南-供应商》（供应商自行去政采云系统上进行下载）： </w:t>
            </w:r>
          </w:p>
          <w:p w14:paraId="26FFC142">
            <w:pPr>
              <w:widowControl/>
              <w:jc w:val="left"/>
              <w:rPr>
                <w:rFonts w:hint="eastAsia" w:ascii="宋体" w:hAnsi="宋体" w:cs="宋体"/>
              </w:rPr>
            </w:pPr>
            <w:r>
              <w:rPr>
                <w:rFonts w:hint="eastAsia" w:ascii="宋体" w:hAnsi="宋体" w:cs="宋体"/>
                <w:color w:val="000000"/>
                <w:kern w:val="0"/>
                <w:sz w:val="24"/>
                <w:szCs w:val="24"/>
                <w:lang w:bidi="ar"/>
              </w:rPr>
              <w:t xml:space="preserve">（1）供应商应在投标文件递交截止时间前将“电子加密投标文件”成功上传递交至“政府采购云平台”，采购组织机构开启解密标书后，方可解密电子加密投标文件。 </w:t>
            </w:r>
          </w:p>
          <w:p w14:paraId="3CA5C90F">
            <w:pPr>
              <w:widowControl/>
              <w:jc w:val="left"/>
              <w:rPr>
                <w:rFonts w:hint="eastAsia" w:ascii="宋体" w:hAnsi="宋体" w:cs="宋体"/>
              </w:rPr>
            </w:pPr>
            <w:r>
              <w:rPr>
                <w:rFonts w:hint="eastAsia" w:ascii="宋体" w:hAnsi="宋体" w:cs="宋体"/>
                <w:color w:val="000000"/>
                <w:kern w:val="0"/>
                <w:sz w:val="24"/>
                <w:szCs w:val="24"/>
                <w:lang w:bidi="ar"/>
              </w:rPr>
              <w:t xml:space="preserve">（2）电子加密投标文件上传成功后，在“电子投标文件上传-进行中”标签页下，显示状态为“已上传”。可在此处下载打印回执；在提交投标文件截止时间前，供应商可撤回电子加密投标文件，修改内容。 </w:t>
            </w:r>
          </w:p>
          <w:p w14:paraId="3F1F1440">
            <w:pPr>
              <w:widowControl/>
              <w:jc w:val="left"/>
              <w:rPr>
                <w:rFonts w:hint="eastAsia" w:ascii="宋体" w:hAnsi="宋体" w:cs="宋体"/>
              </w:rPr>
            </w:pPr>
            <w:r>
              <w:rPr>
                <w:rFonts w:hint="eastAsia" w:ascii="宋体" w:hAnsi="宋体" w:cs="宋体"/>
                <w:color w:val="000000"/>
                <w:kern w:val="0"/>
                <w:sz w:val="24"/>
                <w:szCs w:val="24"/>
                <w:lang w:bidi="ar"/>
              </w:rPr>
              <w:t>2.“备份投标文件”的递交要求：应通过“政府采购云平台”成功上传递交的“电子加密投标文件</w:t>
            </w:r>
            <w:r>
              <w:rPr>
                <w:rFonts w:hint="eastAsia" w:ascii="宋体" w:hAnsi="宋体" w:cs="宋体"/>
                <w:b/>
                <w:bCs/>
                <w:color w:val="000000"/>
                <w:kern w:val="0"/>
                <w:sz w:val="24"/>
                <w:szCs w:val="24"/>
                <w:lang w:bidi="ar"/>
              </w:rPr>
              <w:t>”</w:t>
            </w:r>
            <w:r>
              <w:rPr>
                <w:rFonts w:hint="eastAsia" w:ascii="宋体" w:hAnsi="宋体" w:cs="宋体"/>
                <w:color w:val="000000"/>
                <w:kern w:val="0"/>
                <w:sz w:val="24"/>
                <w:szCs w:val="24"/>
                <w:lang w:bidi="ar"/>
              </w:rPr>
              <w:t xml:space="preserve">已按规定时间解密。无法按时解密的，以操作指南执行。 </w:t>
            </w:r>
          </w:p>
          <w:p w14:paraId="26589FE3">
            <w:pPr>
              <w:widowControl/>
              <w:jc w:val="left"/>
              <w:rPr>
                <w:rFonts w:hint="eastAsia" w:ascii="宋体" w:hAnsi="宋体" w:cs="宋体"/>
                <w:bCs/>
                <w:color w:val="000000"/>
                <w:kern w:val="15"/>
                <w:sz w:val="24"/>
                <w:szCs w:val="24"/>
                <w:lang w:val="zh-CN"/>
              </w:rPr>
            </w:pPr>
            <w:r>
              <w:rPr>
                <w:rFonts w:hint="eastAsia" w:ascii="宋体" w:hAnsi="宋体" w:cs="宋体"/>
                <w:color w:val="000000"/>
                <w:kern w:val="0"/>
                <w:sz w:val="24"/>
                <w:szCs w:val="24"/>
                <w:lang w:bidi="ar"/>
              </w:rPr>
              <w:t>3.解密CA必须是上传并制作电子投标文件CA锁。</w:t>
            </w:r>
          </w:p>
        </w:tc>
      </w:tr>
      <w:tr w14:paraId="1F44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167EA7E1">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26</w:t>
            </w:r>
          </w:p>
        </w:tc>
        <w:tc>
          <w:tcPr>
            <w:tcW w:w="1513" w:type="pct"/>
            <w:shd w:val="clear" w:color="auto" w:fill="auto"/>
            <w:vAlign w:val="center"/>
          </w:tcPr>
          <w:p w14:paraId="13FB13AB">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rPr>
              <w:t>投标文件解密</w:t>
            </w:r>
          </w:p>
        </w:tc>
        <w:tc>
          <w:tcPr>
            <w:tcW w:w="2930" w:type="pct"/>
            <w:shd w:val="clear" w:color="auto" w:fill="auto"/>
            <w:vAlign w:val="center"/>
          </w:tcPr>
          <w:p w14:paraId="222E520D">
            <w:pPr>
              <w:widowControl/>
              <w:jc w:val="left"/>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各供应商代表应当在接到解密通知后30分钟内自行完成“电子加密投标文件”的在线解密（解密电子加密投标文件必须插入CA）。 </w:t>
            </w:r>
          </w:p>
          <w:p w14:paraId="660E88C6">
            <w:pPr>
              <w:widowControl/>
              <w:jc w:val="left"/>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（1）如政采云上电子加密投标文件出现解密失败情况，供应商应根据操作指南或联系采购代理机构，处理后政采云系统仍无法识别，不能成功上传的视为电子投标文件撤回。 </w:t>
            </w:r>
          </w:p>
          <w:p w14:paraId="56A1FBC7">
            <w:pPr>
              <w:widowControl/>
              <w:jc w:val="left"/>
              <w:rPr>
                <w:rFonts w:hint="eastAsia" w:ascii="宋体" w:hAnsi="宋体" w:cs="宋体"/>
                <w:bCs/>
                <w:color w:val="000000"/>
                <w:sz w:val="24"/>
                <w:szCs w:val="24"/>
                <w:lang w:val="zh-CN"/>
              </w:rPr>
            </w:pPr>
            <w:r>
              <w:rPr>
                <w:rFonts w:hint="eastAsia" w:ascii="宋体" w:hAnsi="宋体" w:cs="宋体"/>
                <w:bCs/>
                <w:color w:val="000000"/>
                <w:sz w:val="24"/>
                <w:szCs w:val="24"/>
                <w:lang w:val="zh-CN"/>
              </w:rPr>
              <w:t>（2）投标方无需在开标当天到达开标现场对电子投标进行解密， 可在公司办公场地在规定时间内对电子投标文件进行解密。</w:t>
            </w:r>
          </w:p>
        </w:tc>
      </w:tr>
      <w:tr w14:paraId="1E54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556" w:type="pct"/>
            <w:vAlign w:val="center"/>
          </w:tcPr>
          <w:p w14:paraId="33ED071B">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27</w:t>
            </w:r>
          </w:p>
        </w:tc>
        <w:tc>
          <w:tcPr>
            <w:tcW w:w="1513" w:type="pct"/>
            <w:shd w:val="clear" w:color="auto" w:fill="auto"/>
            <w:vAlign w:val="center"/>
          </w:tcPr>
          <w:p w14:paraId="27365E5E">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投标文件式样</w:t>
            </w:r>
          </w:p>
        </w:tc>
        <w:tc>
          <w:tcPr>
            <w:tcW w:w="2930" w:type="pct"/>
            <w:shd w:val="clear" w:color="auto" w:fill="auto"/>
            <w:vAlign w:val="center"/>
          </w:tcPr>
          <w:p w14:paraId="6BCF0188">
            <w:pPr>
              <w:widowControl/>
              <w:jc w:val="left"/>
              <w:rPr>
                <w:rFonts w:hint="eastAsia" w:ascii="宋体" w:hAnsi="宋体" w:cs="宋体"/>
              </w:rPr>
            </w:pPr>
            <w:r>
              <w:rPr>
                <w:rFonts w:hint="eastAsia" w:ascii="宋体" w:hAnsi="宋体" w:cs="宋体"/>
                <w:color w:val="000000"/>
                <w:kern w:val="0"/>
                <w:sz w:val="24"/>
                <w:szCs w:val="24"/>
                <w:lang w:bidi="ar"/>
              </w:rPr>
              <w:t xml:space="preserve">1.投标文件编制工具：投标文件编制工具为政采云电子交易客户端，请自行在网上下载。 </w:t>
            </w:r>
          </w:p>
          <w:p w14:paraId="7F7A9FE2">
            <w:pPr>
              <w:widowControl/>
              <w:jc w:val="left"/>
              <w:rPr>
                <w:rFonts w:hint="eastAsia" w:ascii="宋体" w:hAnsi="宋体" w:cs="宋体"/>
                <w:bCs/>
                <w:color w:val="000000"/>
                <w:sz w:val="24"/>
                <w:szCs w:val="24"/>
                <w:lang w:val="zh-CN"/>
              </w:rPr>
            </w:pPr>
            <w:r>
              <w:rPr>
                <w:rFonts w:hint="eastAsia" w:ascii="宋体" w:hAnsi="宋体" w:cs="宋体"/>
                <w:color w:val="000000"/>
                <w:kern w:val="0"/>
                <w:sz w:val="24"/>
                <w:szCs w:val="24"/>
                <w:lang w:bidi="ar"/>
              </w:rPr>
              <w:t>2.本项目投标时采用电子文件。</w:t>
            </w:r>
          </w:p>
        </w:tc>
      </w:tr>
      <w:tr w14:paraId="6085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56" w:type="pct"/>
            <w:vAlign w:val="center"/>
          </w:tcPr>
          <w:p w14:paraId="318EAA22">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28</w:t>
            </w:r>
          </w:p>
        </w:tc>
        <w:tc>
          <w:tcPr>
            <w:tcW w:w="1513" w:type="pct"/>
            <w:shd w:val="clear" w:color="auto" w:fill="auto"/>
            <w:vAlign w:val="center"/>
          </w:tcPr>
          <w:p w14:paraId="4921AB46">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开标时间和地点</w:t>
            </w:r>
          </w:p>
        </w:tc>
        <w:tc>
          <w:tcPr>
            <w:tcW w:w="2930" w:type="pct"/>
            <w:shd w:val="clear" w:color="auto" w:fill="auto"/>
          </w:tcPr>
          <w:p w14:paraId="2BB47CDD">
            <w:pPr>
              <w:autoSpaceDE w:val="0"/>
              <w:autoSpaceDN w:val="0"/>
              <w:adjustRightInd w:val="0"/>
              <w:spacing w:line="360" w:lineRule="auto"/>
              <w:rPr>
                <w:rFonts w:hint="eastAsia" w:ascii="宋体" w:hAnsi="宋体" w:cs="宋体"/>
                <w:sz w:val="24"/>
                <w:szCs w:val="24"/>
              </w:rPr>
            </w:pPr>
            <w:r>
              <w:rPr>
                <w:rFonts w:hint="eastAsia" w:ascii="宋体" w:hAnsi="宋体" w:cs="宋体"/>
                <w:bCs/>
                <w:color w:val="000000"/>
                <w:sz w:val="24"/>
                <w:szCs w:val="24"/>
              </w:rPr>
              <w:t>开标时间：</w:t>
            </w:r>
            <w:r>
              <w:rPr>
                <w:rFonts w:hint="eastAsia" w:ascii="宋体" w:hAnsi="宋体" w:cs="宋体"/>
                <w:bCs/>
                <w:color w:val="000000"/>
                <w:sz w:val="24"/>
                <w:szCs w:val="24"/>
                <w:highlight w:val="none"/>
              </w:rPr>
              <w:t>2025年</w:t>
            </w:r>
            <w:r>
              <w:rPr>
                <w:rFonts w:hint="eastAsia" w:ascii="宋体" w:hAnsi="宋体" w:cs="宋体"/>
                <w:bCs/>
                <w:color w:val="000000"/>
                <w:sz w:val="24"/>
                <w:szCs w:val="24"/>
                <w:highlight w:val="none"/>
                <w:lang w:val="en-US" w:eastAsia="zh-CN"/>
              </w:rPr>
              <w:t>5</w:t>
            </w:r>
            <w:r>
              <w:rPr>
                <w:rFonts w:hint="eastAsia" w:ascii="宋体" w:hAnsi="宋体" w:cs="宋体"/>
                <w:bCs/>
                <w:color w:val="000000"/>
                <w:sz w:val="24"/>
                <w:szCs w:val="24"/>
                <w:highlight w:val="none"/>
              </w:rPr>
              <w:t>月</w:t>
            </w:r>
            <w:r>
              <w:rPr>
                <w:rFonts w:hint="eastAsia" w:ascii="宋体" w:hAnsi="宋体" w:cs="宋体"/>
                <w:bCs/>
                <w:color w:val="000000"/>
                <w:sz w:val="24"/>
                <w:szCs w:val="24"/>
                <w:highlight w:val="none"/>
                <w:lang w:val="en-US" w:eastAsia="zh-CN"/>
              </w:rPr>
              <w:t>9</w:t>
            </w:r>
            <w:r>
              <w:rPr>
                <w:rFonts w:hint="eastAsia" w:ascii="宋体" w:hAnsi="宋体" w:cs="宋体"/>
                <w:bCs/>
                <w:color w:val="000000"/>
                <w:sz w:val="24"/>
                <w:szCs w:val="24"/>
                <w:highlight w:val="none"/>
              </w:rPr>
              <w:t>日</w:t>
            </w:r>
            <w:r>
              <w:rPr>
                <w:rFonts w:hint="eastAsia" w:ascii="宋体" w:hAnsi="宋体" w:cs="宋体"/>
                <w:bCs/>
                <w:color w:val="000000"/>
                <w:sz w:val="24"/>
                <w:szCs w:val="24"/>
                <w:highlight w:val="none"/>
                <w:lang w:val="en-US" w:eastAsia="zh-CN"/>
              </w:rPr>
              <w:t>10</w:t>
            </w:r>
            <w:r>
              <w:rPr>
                <w:rFonts w:hint="eastAsia" w:ascii="宋体" w:hAnsi="宋体" w:cs="宋体"/>
                <w:bCs/>
                <w:color w:val="000000"/>
                <w:sz w:val="24"/>
                <w:szCs w:val="24"/>
                <w:highlight w:val="none"/>
              </w:rPr>
              <w:t>时</w:t>
            </w:r>
            <w:r>
              <w:rPr>
                <w:rFonts w:hint="eastAsia" w:ascii="宋体" w:hAnsi="宋体" w:cs="宋体"/>
                <w:bCs/>
                <w:color w:val="000000"/>
                <w:sz w:val="24"/>
                <w:szCs w:val="24"/>
                <w:highlight w:val="none"/>
                <w:lang w:val="en-US" w:eastAsia="zh-CN"/>
              </w:rPr>
              <w:t>0</w:t>
            </w:r>
            <w:r>
              <w:rPr>
                <w:rFonts w:hint="eastAsia" w:ascii="宋体" w:hAnsi="宋体" w:cs="宋体"/>
                <w:bCs/>
                <w:color w:val="000000"/>
                <w:sz w:val="24"/>
                <w:szCs w:val="24"/>
                <w:highlight w:val="none"/>
              </w:rPr>
              <w:t>0分</w:t>
            </w:r>
          </w:p>
          <w:p w14:paraId="4626FB5C">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rPr>
              <w:t>开标地点：“政采云”平台</w:t>
            </w:r>
          </w:p>
        </w:tc>
      </w:tr>
      <w:tr w14:paraId="1D209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56" w:type="pct"/>
            <w:vAlign w:val="center"/>
          </w:tcPr>
          <w:p w14:paraId="063404CC">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29</w:t>
            </w:r>
          </w:p>
        </w:tc>
        <w:tc>
          <w:tcPr>
            <w:tcW w:w="1513" w:type="pct"/>
            <w:shd w:val="clear" w:color="auto" w:fill="auto"/>
            <w:vAlign w:val="center"/>
          </w:tcPr>
          <w:p w14:paraId="14A8A881">
            <w:pPr>
              <w:autoSpaceDE w:val="0"/>
              <w:autoSpaceDN w:val="0"/>
              <w:adjustRightIn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lang w:val="zh-CN"/>
              </w:rPr>
              <w:t>评标委员会的组建</w:t>
            </w:r>
          </w:p>
        </w:tc>
        <w:tc>
          <w:tcPr>
            <w:tcW w:w="2930" w:type="pct"/>
            <w:shd w:val="clear" w:color="auto" w:fill="auto"/>
          </w:tcPr>
          <w:p w14:paraId="25551EA7">
            <w:pPr>
              <w:spacing w:line="360" w:lineRule="auto"/>
              <w:jc w:val="left"/>
              <w:rPr>
                <w:rFonts w:hint="eastAsia" w:ascii="宋体" w:hAnsi="宋体" w:cs="宋体"/>
                <w:bCs/>
                <w:sz w:val="24"/>
                <w:szCs w:val="24"/>
              </w:rPr>
            </w:pPr>
            <w:r>
              <w:rPr>
                <w:rFonts w:hint="eastAsia" w:ascii="宋体" w:hAnsi="宋体" w:cs="宋体"/>
                <w:bCs/>
                <w:sz w:val="24"/>
                <w:szCs w:val="24"/>
                <w:lang w:val="zh-CN"/>
              </w:rPr>
              <w:t>评标委员会构成：</w:t>
            </w:r>
            <w:r>
              <w:rPr>
                <w:rFonts w:hint="eastAsia" w:ascii="宋体" w:hAnsi="宋体" w:cs="宋体"/>
                <w:bCs/>
                <w:sz w:val="24"/>
                <w:szCs w:val="24"/>
              </w:rPr>
              <w:t>采购人代表</w:t>
            </w:r>
            <w:r>
              <w:rPr>
                <w:rFonts w:hint="eastAsia" w:ascii="宋体" w:hAnsi="宋体" w:cs="宋体"/>
                <w:bCs/>
                <w:sz w:val="24"/>
                <w:szCs w:val="24"/>
                <w:u w:val="single"/>
              </w:rPr>
              <w:t>1</w:t>
            </w:r>
            <w:r>
              <w:rPr>
                <w:rFonts w:hint="eastAsia" w:ascii="宋体" w:hAnsi="宋体" w:cs="宋体"/>
                <w:bCs/>
                <w:sz w:val="24"/>
                <w:szCs w:val="24"/>
                <w:lang w:val="zh-CN"/>
              </w:rPr>
              <w:t>人、专家</w:t>
            </w:r>
            <w:r>
              <w:rPr>
                <w:rFonts w:hint="eastAsia" w:ascii="宋体" w:hAnsi="宋体" w:cs="宋体"/>
                <w:bCs/>
                <w:sz w:val="24"/>
                <w:szCs w:val="24"/>
                <w:u w:val="single"/>
              </w:rPr>
              <w:t>4</w:t>
            </w:r>
            <w:r>
              <w:rPr>
                <w:rFonts w:hint="eastAsia" w:ascii="宋体" w:hAnsi="宋体" w:cs="宋体"/>
                <w:bCs/>
                <w:sz w:val="24"/>
                <w:szCs w:val="24"/>
                <w:lang w:val="zh-CN"/>
              </w:rPr>
              <w:t>人，共</w:t>
            </w:r>
            <w:r>
              <w:rPr>
                <w:rFonts w:hint="eastAsia" w:ascii="宋体" w:hAnsi="宋体" w:cs="宋体"/>
                <w:bCs/>
                <w:sz w:val="24"/>
                <w:szCs w:val="24"/>
                <w:u w:val="single"/>
              </w:rPr>
              <w:t>5</w:t>
            </w:r>
            <w:r>
              <w:rPr>
                <w:rFonts w:hint="eastAsia" w:ascii="宋体" w:hAnsi="宋体" w:cs="宋体"/>
                <w:bCs/>
                <w:sz w:val="24"/>
                <w:szCs w:val="24"/>
                <w:lang w:val="zh-CN"/>
              </w:rPr>
              <w:t>人组成</w:t>
            </w:r>
          </w:p>
          <w:p w14:paraId="4D85B293">
            <w:pPr>
              <w:spacing w:line="360" w:lineRule="auto"/>
              <w:jc w:val="left"/>
              <w:rPr>
                <w:rFonts w:hint="eastAsia" w:ascii="宋体" w:hAnsi="宋体" w:cs="宋体"/>
                <w:bCs/>
                <w:color w:val="000000"/>
                <w:sz w:val="24"/>
                <w:szCs w:val="24"/>
                <w:lang w:val="zh-CN"/>
              </w:rPr>
            </w:pPr>
            <w:r>
              <w:rPr>
                <w:rFonts w:hint="eastAsia" w:ascii="宋体" w:hAnsi="宋体" w:cs="宋体"/>
                <w:bCs/>
                <w:sz w:val="24"/>
                <w:szCs w:val="24"/>
                <w:lang w:val="zh-CN"/>
              </w:rPr>
              <w:t>评标专家确定方式：经济及技术方面专家从吉林省政务大厅评标专家库中随机抽取。</w:t>
            </w:r>
          </w:p>
        </w:tc>
      </w:tr>
      <w:tr w14:paraId="141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556" w:type="pct"/>
            <w:vAlign w:val="center"/>
          </w:tcPr>
          <w:p w14:paraId="073F5C08">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30</w:t>
            </w:r>
          </w:p>
        </w:tc>
        <w:tc>
          <w:tcPr>
            <w:tcW w:w="1513" w:type="pct"/>
            <w:shd w:val="clear" w:color="auto" w:fill="auto"/>
            <w:vAlign w:val="center"/>
          </w:tcPr>
          <w:p w14:paraId="24BA5635">
            <w:pPr>
              <w:autoSpaceDE w:val="0"/>
              <w:autoSpaceDN w:val="0"/>
              <w:adjustRightInd w:val="0"/>
              <w:spacing w:line="360" w:lineRule="auto"/>
              <w:ind w:firstLine="240" w:firstLineChars="100"/>
              <w:rPr>
                <w:rFonts w:hint="eastAsia" w:ascii="宋体" w:hAnsi="宋体" w:cs="宋体"/>
                <w:bCs/>
                <w:color w:val="000000"/>
                <w:sz w:val="24"/>
                <w:szCs w:val="24"/>
                <w:lang w:val="zh-CN"/>
              </w:rPr>
            </w:pPr>
            <w:r>
              <w:rPr>
                <w:rFonts w:hint="eastAsia" w:ascii="宋体" w:hAnsi="宋体" w:cs="宋体"/>
                <w:bCs/>
                <w:color w:val="000000"/>
                <w:sz w:val="24"/>
                <w:szCs w:val="24"/>
                <w:lang w:val="zh-CN"/>
              </w:rPr>
              <w:t>是否授权评标委员会确定中标人</w:t>
            </w:r>
          </w:p>
        </w:tc>
        <w:tc>
          <w:tcPr>
            <w:tcW w:w="2930" w:type="pct"/>
            <w:shd w:val="clear" w:color="auto" w:fill="auto"/>
            <w:vAlign w:val="center"/>
          </w:tcPr>
          <w:p w14:paraId="1B89E4AE">
            <w:pPr>
              <w:spacing w:line="360" w:lineRule="auto"/>
              <w:rPr>
                <w:rFonts w:hint="eastAsia" w:ascii="宋体" w:hAnsi="宋体" w:cs="宋体"/>
                <w:bCs/>
                <w:color w:val="000000"/>
                <w:kern w:val="15"/>
                <w:sz w:val="24"/>
                <w:szCs w:val="24"/>
                <w:lang w:val="zh-CN"/>
              </w:rPr>
            </w:pPr>
            <w:r>
              <w:rPr>
                <w:rFonts w:hint="eastAsia" w:ascii="宋体" w:hAnsi="宋体" w:cs="宋体"/>
                <w:bCs/>
                <w:color w:val="000000"/>
                <w:kern w:val="15"/>
                <w:sz w:val="24"/>
                <w:szCs w:val="24"/>
                <w:lang w:val="zh-CN"/>
              </w:rPr>
              <w:t>否，</w:t>
            </w:r>
            <w:r>
              <w:rPr>
                <w:rFonts w:hint="eastAsia" w:ascii="宋体" w:hAnsi="宋体" w:cs="宋体"/>
                <w:bCs/>
                <w:color w:val="000000"/>
                <w:kern w:val="15"/>
                <w:sz w:val="24"/>
                <w:szCs w:val="24"/>
              </w:rPr>
              <w:t>推荐的中标候选人数3名</w:t>
            </w:r>
          </w:p>
        </w:tc>
      </w:tr>
      <w:tr w14:paraId="0F00F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pct"/>
            <w:vAlign w:val="center"/>
          </w:tcPr>
          <w:p w14:paraId="452761DB">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31</w:t>
            </w:r>
          </w:p>
        </w:tc>
        <w:tc>
          <w:tcPr>
            <w:tcW w:w="1513" w:type="pct"/>
            <w:shd w:val="clear" w:color="auto" w:fill="auto"/>
            <w:vAlign w:val="center"/>
          </w:tcPr>
          <w:p w14:paraId="12E1E687">
            <w:pPr>
              <w:spacing w:line="360" w:lineRule="auto"/>
              <w:jc w:val="center"/>
              <w:rPr>
                <w:rFonts w:hint="eastAsia" w:ascii="宋体" w:hAnsi="宋体" w:cs="宋体"/>
                <w:bCs/>
                <w:color w:val="000000"/>
                <w:kern w:val="15"/>
                <w:sz w:val="24"/>
                <w:szCs w:val="24"/>
                <w:lang w:val="zh-CN"/>
              </w:rPr>
            </w:pPr>
            <w:r>
              <w:rPr>
                <w:rFonts w:hint="eastAsia" w:ascii="宋体" w:hAnsi="宋体" w:cs="宋体"/>
                <w:bCs/>
                <w:color w:val="000000"/>
                <w:kern w:val="15"/>
                <w:sz w:val="24"/>
                <w:szCs w:val="24"/>
              </w:rPr>
              <w:t>采购代理服务费</w:t>
            </w:r>
          </w:p>
        </w:tc>
        <w:tc>
          <w:tcPr>
            <w:tcW w:w="2930" w:type="pct"/>
            <w:shd w:val="clear" w:color="auto" w:fill="auto"/>
          </w:tcPr>
          <w:p w14:paraId="7F5585F5">
            <w:pPr>
              <w:spacing w:line="360" w:lineRule="auto"/>
              <w:jc w:val="left"/>
              <w:rPr>
                <w:rFonts w:hint="eastAsia" w:ascii="宋体" w:hAnsi="宋体" w:cs="宋体"/>
                <w:bCs/>
                <w:color w:val="000000"/>
                <w:sz w:val="24"/>
                <w:szCs w:val="24"/>
                <w:lang w:val="zh-CN"/>
              </w:rPr>
            </w:pPr>
            <w:r>
              <w:rPr>
                <w:rFonts w:ascii="宋体" w:hAnsi="宋体" w:cs="宋体"/>
                <w:sz w:val="24"/>
                <w:szCs w:val="24"/>
              </w:rPr>
              <w:t>参考国家计委颁布的«招标代理服务收费管理暂行办法»（计价格 [2002]1980号）和国家发改委办公厅颁布的《国家发改委办公厅关于招标代理服务收费有关问题的通知》（发改办价格[2003]857号）的规定标准向</w:t>
            </w:r>
            <w:r>
              <w:rPr>
                <w:rFonts w:hint="eastAsia" w:ascii="宋体" w:hAnsi="宋体" w:cs="宋体"/>
                <w:sz w:val="24"/>
                <w:szCs w:val="24"/>
              </w:rPr>
              <w:t>中标</w:t>
            </w:r>
            <w:r>
              <w:rPr>
                <w:rFonts w:ascii="宋体" w:hAnsi="宋体" w:cs="宋体"/>
                <w:sz w:val="24"/>
                <w:szCs w:val="24"/>
              </w:rPr>
              <w:t>人收取</w:t>
            </w:r>
            <w:r>
              <w:rPr>
                <w:rFonts w:hint="eastAsia" w:ascii="宋体" w:hAnsi="宋体" w:cs="宋体"/>
                <w:sz w:val="24"/>
                <w:szCs w:val="24"/>
              </w:rPr>
              <w:t>采购代理</w:t>
            </w:r>
            <w:r>
              <w:rPr>
                <w:rFonts w:ascii="宋体" w:hAnsi="宋体" w:cs="宋体"/>
                <w:sz w:val="24"/>
                <w:szCs w:val="24"/>
              </w:rPr>
              <w:t>服务费</w:t>
            </w:r>
            <w:r>
              <w:rPr>
                <w:rFonts w:hint="eastAsia" w:ascii="宋体" w:hAnsi="宋体" w:cs="宋体"/>
                <w:sz w:val="24"/>
                <w:szCs w:val="24"/>
              </w:rPr>
              <w:t>，</w:t>
            </w:r>
            <w:r>
              <w:rPr>
                <w:rFonts w:hint="eastAsia" w:ascii="宋体" w:hAnsi="宋体" w:cs="宋体"/>
                <w:sz w:val="24"/>
                <w:szCs w:val="24"/>
                <w:lang w:val="zh-CN"/>
              </w:rPr>
              <w:t>在此基础之上打八折，</w:t>
            </w:r>
            <w:r>
              <w:rPr>
                <w:rFonts w:hint="eastAsia" w:ascii="宋体" w:hAnsi="宋体" w:cs="宋体"/>
                <w:sz w:val="24"/>
                <w:szCs w:val="24"/>
              </w:rPr>
              <w:t>由中标人支付</w:t>
            </w:r>
            <w:r>
              <w:rPr>
                <w:rFonts w:hint="eastAsia" w:ascii="宋体" w:hAnsi="宋体" w:cs="宋体"/>
                <w:bCs/>
                <w:color w:val="000000"/>
                <w:sz w:val="24"/>
                <w:szCs w:val="24"/>
                <w:lang w:val="zh-CN"/>
              </w:rPr>
              <w:t>。</w:t>
            </w:r>
          </w:p>
        </w:tc>
      </w:tr>
      <w:tr w14:paraId="10ACD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56" w:type="pct"/>
            <w:vAlign w:val="center"/>
          </w:tcPr>
          <w:p w14:paraId="33C4A086">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32</w:t>
            </w:r>
          </w:p>
        </w:tc>
        <w:tc>
          <w:tcPr>
            <w:tcW w:w="1513" w:type="pct"/>
            <w:shd w:val="clear" w:color="auto" w:fill="auto"/>
            <w:vAlign w:val="center"/>
          </w:tcPr>
          <w:p w14:paraId="194F0BC0">
            <w:pPr>
              <w:spacing w:line="360" w:lineRule="auto"/>
              <w:jc w:val="center"/>
              <w:rPr>
                <w:rFonts w:hint="eastAsia" w:ascii="宋体" w:hAnsi="宋体" w:cs="宋体"/>
                <w:bCs/>
                <w:color w:val="000000"/>
                <w:sz w:val="24"/>
                <w:szCs w:val="24"/>
                <w:lang w:val="zh-CN"/>
              </w:rPr>
            </w:pPr>
            <w:r>
              <w:rPr>
                <w:rFonts w:hint="eastAsia" w:ascii="宋体" w:hAnsi="宋体" w:cs="宋体"/>
                <w:bCs/>
                <w:color w:val="000000"/>
                <w:kern w:val="15"/>
                <w:sz w:val="24"/>
                <w:szCs w:val="24"/>
              </w:rPr>
              <w:t>最高限价</w:t>
            </w:r>
          </w:p>
        </w:tc>
        <w:tc>
          <w:tcPr>
            <w:tcW w:w="2930" w:type="pct"/>
            <w:shd w:val="clear" w:color="auto" w:fill="auto"/>
            <w:vAlign w:val="center"/>
          </w:tcPr>
          <w:p w14:paraId="08827AC7">
            <w:pPr>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rPr>
              <w:t>人民币384万元（投标报价超过</w:t>
            </w:r>
            <w:r>
              <w:rPr>
                <w:rFonts w:hint="eastAsia" w:ascii="宋体" w:hAnsi="宋体" w:cs="宋体"/>
                <w:bCs/>
                <w:color w:val="000000"/>
                <w:kern w:val="15"/>
                <w:sz w:val="24"/>
                <w:szCs w:val="24"/>
              </w:rPr>
              <w:t>最高限价</w:t>
            </w:r>
            <w:r>
              <w:rPr>
                <w:rFonts w:hint="eastAsia" w:ascii="宋体" w:hAnsi="宋体" w:cs="宋体"/>
                <w:bCs/>
                <w:color w:val="000000"/>
                <w:sz w:val="24"/>
                <w:szCs w:val="24"/>
              </w:rPr>
              <w:t>作废标处理）</w:t>
            </w:r>
          </w:p>
        </w:tc>
      </w:tr>
      <w:tr w14:paraId="1D70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556" w:type="pct"/>
            <w:vAlign w:val="center"/>
          </w:tcPr>
          <w:p w14:paraId="51A7D4B2">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33</w:t>
            </w:r>
          </w:p>
        </w:tc>
        <w:tc>
          <w:tcPr>
            <w:tcW w:w="1513" w:type="pct"/>
            <w:shd w:val="clear" w:color="auto" w:fill="auto"/>
            <w:vAlign w:val="center"/>
          </w:tcPr>
          <w:p w14:paraId="2E978BA1">
            <w:pPr>
              <w:jc w:val="center"/>
              <w:rPr>
                <w:lang w:val="zh-CN"/>
              </w:rPr>
            </w:pPr>
            <w:r>
              <w:rPr>
                <w:rFonts w:hint="eastAsia"/>
                <w:sz w:val="24"/>
                <w:szCs w:val="24"/>
              </w:rPr>
              <w:t>核心产品</w:t>
            </w:r>
          </w:p>
        </w:tc>
        <w:tc>
          <w:tcPr>
            <w:tcW w:w="2930" w:type="pct"/>
            <w:shd w:val="clear" w:color="auto" w:fill="auto"/>
            <w:vAlign w:val="center"/>
          </w:tcPr>
          <w:p w14:paraId="06D46699">
            <w:pPr>
              <w:rPr>
                <w:highlight w:val="cyan"/>
                <w:lang w:val="zh-CN"/>
              </w:rPr>
            </w:pPr>
            <w:r>
              <w:rPr>
                <w:rFonts w:hint="eastAsia" w:ascii="宋体" w:hAnsi="宋体" w:cs="宋体"/>
                <w:sz w:val="24"/>
                <w:szCs w:val="24"/>
                <w:lang w:val="zh-CN"/>
              </w:rPr>
              <w:t>纯电动全车实训系统</w:t>
            </w:r>
          </w:p>
        </w:tc>
      </w:tr>
      <w:tr w14:paraId="5064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556" w:type="pct"/>
            <w:vAlign w:val="center"/>
          </w:tcPr>
          <w:p w14:paraId="09236B2A">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34</w:t>
            </w:r>
          </w:p>
        </w:tc>
        <w:tc>
          <w:tcPr>
            <w:tcW w:w="1513" w:type="pct"/>
            <w:shd w:val="clear" w:color="auto" w:fill="auto"/>
            <w:vAlign w:val="center"/>
          </w:tcPr>
          <w:p w14:paraId="2ED2E78D">
            <w:pPr>
              <w:jc w:val="center"/>
              <w:rPr>
                <w:sz w:val="24"/>
                <w:szCs w:val="24"/>
                <w:lang w:val="zh-CN"/>
              </w:rPr>
            </w:pPr>
            <w:r>
              <w:rPr>
                <w:rFonts w:hint="eastAsia"/>
                <w:sz w:val="24"/>
                <w:szCs w:val="24"/>
              </w:rPr>
              <w:t>标的所属行业</w:t>
            </w:r>
          </w:p>
        </w:tc>
        <w:tc>
          <w:tcPr>
            <w:tcW w:w="2930" w:type="pct"/>
            <w:shd w:val="clear" w:color="auto" w:fill="auto"/>
            <w:vAlign w:val="center"/>
          </w:tcPr>
          <w:p w14:paraId="6C09D606">
            <w:pPr>
              <w:rPr>
                <w:rFonts w:hint="eastAsia" w:eastAsia="宋体"/>
                <w:highlight w:val="cyan"/>
                <w:lang w:val="zh-CN" w:eastAsia="zh-CN"/>
              </w:rPr>
            </w:pPr>
            <w:r>
              <w:rPr>
                <w:rFonts w:hint="eastAsia" w:ascii="宋体" w:hAnsi="宋体" w:cs="宋体"/>
                <w:sz w:val="24"/>
                <w:szCs w:val="24"/>
                <w:lang w:val="en-US" w:eastAsia="zh-CN"/>
              </w:rPr>
              <w:t>工业</w:t>
            </w:r>
          </w:p>
        </w:tc>
      </w:tr>
      <w:tr w14:paraId="4B80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3"/>
            <w:vAlign w:val="center"/>
          </w:tcPr>
          <w:p w14:paraId="3F877AD6">
            <w:pPr>
              <w:spacing w:line="360" w:lineRule="auto"/>
              <w:jc w:val="left"/>
              <w:rPr>
                <w:rFonts w:hint="eastAsia" w:ascii="宋体" w:hAnsi="宋体" w:cs="宋体"/>
                <w:bCs/>
                <w:color w:val="000000"/>
                <w:sz w:val="24"/>
                <w:szCs w:val="24"/>
                <w:lang w:val="zh-CN"/>
              </w:rPr>
            </w:pPr>
            <w:r>
              <w:rPr>
                <w:rFonts w:hint="eastAsia" w:ascii="宋体" w:hAnsi="宋体" w:cs="宋体"/>
                <w:bCs/>
                <w:color w:val="000000"/>
                <w:sz w:val="24"/>
                <w:szCs w:val="24"/>
                <w:lang w:val="zh-CN"/>
              </w:rPr>
              <w:t>招标公告与招标文件有不一致处，以招标文件为准。</w:t>
            </w:r>
          </w:p>
        </w:tc>
      </w:tr>
    </w:tbl>
    <w:p w14:paraId="0F8588CC">
      <w:pPr>
        <w:autoSpaceDE w:val="0"/>
        <w:autoSpaceDN w:val="0"/>
        <w:adjustRightInd w:val="0"/>
        <w:spacing w:line="360" w:lineRule="auto"/>
        <w:ind w:firstLine="482"/>
        <w:rPr>
          <w:rFonts w:hint="eastAsia" w:ascii="宋体" w:hAnsi="宋体" w:cs="宋体"/>
          <w:color w:val="000000"/>
          <w:sz w:val="24"/>
          <w:szCs w:val="24"/>
          <w:lang w:val="zh-CN"/>
        </w:rPr>
      </w:pPr>
      <w:r>
        <w:rPr>
          <w:rFonts w:hint="eastAsia" w:ascii="宋体" w:hAnsi="宋体" w:cs="宋体"/>
          <w:b/>
          <w:color w:val="000000"/>
          <w:sz w:val="24"/>
          <w:szCs w:val="24"/>
          <w:lang w:val="zh-CN"/>
        </w:rPr>
        <w:t>1．适用法律：</w:t>
      </w:r>
      <w:r>
        <w:rPr>
          <w:rFonts w:hint="eastAsia" w:ascii="宋体" w:hAnsi="宋体" w:cs="宋体"/>
          <w:color w:val="000000"/>
          <w:sz w:val="24"/>
          <w:szCs w:val="24"/>
          <w:lang w:val="zh-CN"/>
        </w:rPr>
        <w:t>本次招标适用法律法规为《中华人民共和国政府采购法》、《政府采购货物和服务招标投标管理办法》及政府采购其它相关法规。</w:t>
      </w:r>
    </w:p>
    <w:p w14:paraId="10DDC3D8">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lang w:val="zh-CN"/>
        </w:rPr>
        <w:t>2．定义：</w:t>
      </w:r>
    </w:p>
    <w:p w14:paraId="26AEDEC2">
      <w:pPr>
        <w:autoSpaceDE w:val="0"/>
        <w:autoSpaceDN w:val="0"/>
        <w:adjustRightInd w:val="0"/>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2.1</w:t>
      </w:r>
      <w:r>
        <w:rPr>
          <w:rFonts w:hint="eastAsia" w:ascii="宋体" w:hAnsi="宋体" w:cs="宋体"/>
          <w:color w:val="000000"/>
          <w:sz w:val="24"/>
          <w:szCs w:val="24"/>
        </w:rPr>
        <w:t>“</w:t>
      </w:r>
      <w:r>
        <w:rPr>
          <w:rFonts w:hint="eastAsia" w:ascii="宋体" w:hAnsi="宋体" w:cs="宋体"/>
          <w:color w:val="000000"/>
          <w:sz w:val="24"/>
          <w:szCs w:val="24"/>
          <w:lang w:val="zh-CN"/>
        </w:rPr>
        <w:t>采购代理机构</w:t>
      </w:r>
      <w:r>
        <w:rPr>
          <w:rFonts w:hint="eastAsia" w:ascii="宋体" w:hAnsi="宋体" w:cs="宋体"/>
          <w:color w:val="000000"/>
          <w:sz w:val="24"/>
          <w:szCs w:val="24"/>
        </w:rPr>
        <w:t>”</w:t>
      </w:r>
      <w:r>
        <w:rPr>
          <w:rFonts w:hint="eastAsia" w:ascii="宋体" w:hAnsi="宋体" w:cs="宋体"/>
          <w:color w:val="000000"/>
          <w:sz w:val="24"/>
          <w:szCs w:val="24"/>
          <w:lang w:val="zh-CN"/>
        </w:rPr>
        <w:t>指</w:t>
      </w:r>
      <w:r>
        <w:rPr>
          <w:rFonts w:hint="eastAsia" w:ascii="宋体" w:hAnsi="宋体" w:cs="宋体"/>
          <w:color w:val="000000"/>
          <w:sz w:val="24"/>
          <w:szCs w:val="24"/>
          <w:u w:val="single"/>
        </w:rPr>
        <w:t>鼎正众创建设集团有限公司</w:t>
      </w:r>
      <w:r>
        <w:rPr>
          <w:rFonts w:hint="eastAsia" w:ascii="宋体" w:hAnsi="宋体" w:cs="宋体"/>
          <w:color w:val="000000"/>
          <w:sz w:val="24"/>
          <w:szCs w:val="24"/>
          <w:lang w:val="zh-CN"/>
        </w:rPr>
        <w:t>，负责采购活动的组织工作。</w:t>
      </w:r>
    </w:p>
    <w:p w14:paraId="1DA46F2D">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zh-CN"/>
        </w:rPr>
        <w:t>2.2</w:t>
      </w:r>
      <w:r>
        <w:rPr>
          <w:rFonts w:hint="eastAsia" w:ascii="宋体" w:hAnsi="宋体" w:cs="宋体"/>
          <w:color w:val="000000"/>
          <w:sz w:val="24"/>
          <w:szCs w:val="24"/>
        </w:rPr>
        <w:t>“</w:t>
      </w:r>
      <w:r>
        <w:rPr>
          <w:rFonts w:hint="eastAsia" w:ascii="宋体" w:hAnsi="宋体" w:cs="宋体"/>
          <w:color w:val="000000"/>
          <w:sz w:val="24"/>
          <w:szCs w:val="24"/>
          <w:lang w:val="zh-CN"/>
        </w:rPr>
        <w:t>采购人</w:t>
      </w:r>
      <w:r>
        <w:rPr>
          <w:rFonts w:hint="eastAsia" w:ascii="宋体" w:hAnsi="宋体" w:cs="宋体"/>
          <w:color w:val="000000"/>
          <w:sz w:val="24"/>
          <w:szCs w:val="24"/>
        </w:rPr>
        <w:t>”</w:t>
      </w:r>
      <w:r>
        <w:rPr>
          <w:rFonts w:hint="eastAsia" w:ascii="宋体" w:hAnsi="宋体" w:cs="宋体"/>
          <w:color w:val="000000"/>
          <w:sz w:val="24"/>
          <w:szCs w:val="24"/>
          <w:lang w:val="zh-CN"/>
        </w:rPr>
        <w:t>指</w:t>
      </w:r>
      <w:r>
        <w:rPr>
          <w:rFonts w:hint="eastAsia" w:ascii="宋体" w:hAnsi="宋体" w:cs="宋体"/>
          <w:color w:val="000000"/>
          <w:sz w:val="24"/>
          <w:szCs w:val="24"/>
          <w:u w:val="single"/>
          <w:lang w:val="zh-CN"/>
        </w:rPr>
        <w:t>吉林工程职业学院</w:t>
      </w:r>
      <w:r>
        <w:rPr>
          <w:rFonts w:hint="eastAsia" w:ascii="宋体" w:hAnsi="宋体" w:cs="宋体"/>
          <w:color w:val="000000"/>
          <w:sz w:val="24"/>
          <w:szCs w:val="24"/>
          <w:lang w:val="zh-CN"/>
        </w:rPr>
        <w:t>，负责采购项目的整体规划、采购需求设计和可行性论证，作为合同的需方，承担质疑答复，合同履行、验收、评价等义务。</w:t>
      </w:r>
    </w:p>
    <w:p w14:paraId="4849DBC0">
      <w:pPr>
        <w:tabs>
          <w:tab w:val="left" w:pos="709"/>
        </w:tabs>
        <w:autoSpaceDE w:val="0"/>
        <w:autoSpaceDN w:val="0"/>
        <w:adjustRightInd w:val="0"/>
        <w:spacing w:line="360" w:lineRule="auto"/>
        <w:ind w:firstLine="47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2.3</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招标内容</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详见第</w:t>
      </w:r>
      <w:r>
        <w:rPr>
          <w:rFonts w:hint="eastAsia" w:ascii="宋体" w:hAnsi="宋体" w:cs="宋体"/>
          <w:color w:val="000000"/>
          <w:kern w:val="0"/>
          <w:sz w:val="24"/>
          <w:szCs w:val="24"/>
        </w:rPr>
        <w:t>五</w:t>
      </w:r>
      <w:r>
        <w:rPr>
          <w:rFonts w:hint="eastAsia" w:ascii="宋体" w:hAnsi="宋体" w:cs="宋体"/>
          <w:color w:val="000000"/>
          <w:kern w:val="0"/>
          <w:sz w:val="24"/>
          <w:szCs w:val="24"/>
          <w:lang w:val="zh-CN"/>
        </w:rPr>
        <w:t>章《</w:t>
      </w:r>
      <w:r>
        <w:rPr>
          <w:rFonts w:hint="eastAsia" w:ascii="宋体" w:hAnsi="宋体" w:cs="宋体"/>
          <w:color w:val="000000"/>
          <w:sz w:val="24"/>
          <w:szCs w:val="24"/>
        </w:rPr>
        <w:t>采购需求</w:t>
      </w:r>
      <w:r>
        <w:rPr>
          <w:rFonts w:hint="eastAsia" w:ascii="宋体" w:hAnsi="宋体" w:cs="宋体"/>
          <w:color w:val="000000"/>
          <w:kern w:val="0"/>
          <w:sz w:val="24"/>
          <w:szCs w:val="24"/>
          <w:lang w:val="zh-CN"/>
        </w:rPr>
        <w:t>》。</w:t>
      </w:r>
    </w:p>
    <w:p w14:paraId="54803CC0">
      <w:pPr>
        <w:tabs>
          <w:tab w:val="left" w:pos="709"/>
        </w:tabs>
        <w:autoSpaceDE w:val="0"/>
        <w:autoSpaceDN w:val="0"/>
        <w:adjustRightInd w:val="0"/>
        <w:spacing w:line="360" w:lineRule="auto"/>
        <w:ind w:firstLine="47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2.4</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潜在投标人</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指确认参加投标的供应商。</w:t>
      </w:r>
    </w:p>
    <w:p w14:paraId="56A77015">
      <w:pPr>
        <w:tabs>
          <w:tab w:val="left" w:pos="709"/>
        </w:tabs>
        <w:autoSpaceDE w:val="0"/>
        <w:autoSpaceDN w:val="0"/>
        <w:adjustRightInd w:val="0"/>
        <w:spacing w:line="360" w:lineRule="auto"/>
        <w:ind w:firstLine="47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2.5</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投标人</w:t>
      </w:r>
      <w:r>
        <w:rPr>
          <w:rFonts w:hint="eastAsia" w:ascii="宋体" w:hAnsi="宋体" w:cs="宋体"/>
          <w:color w:val="000000"/>
          <w:kern w:val="0"/>
          <w:sz w:val="24"/>
          <w:szCs w:val="24"/>
        </w:rPr>
        <w:t>”</w:t>
      </w:r>
      <w:r>
        <w:rPr>
          <w:rFonts w:hint="eastAsia" w:ascii="宋体" w:hAnsi="宋体" w:cs="宋体"/>
          <w:color w:val="000000"/>
          <w:kern w:val="0"/>
          <w:sz w:val="24"/>
          <w:szCs w:val="24"/>
          <w:lang w:val="zh-CN"/>
        </w:rPr>
        <w:t>指响应本招标文件参加投标的供应商。</w:t>
      </w:r>
    </w:p>
    <w:p w14:paraId="7083C9C4">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lang w:val="zh-CN"/>
        </w:rPr>
        <w:t>3．合格申请人的资格要求：</w:t>
      </w:r>
    </w:p>
    <w:p w14:paraId="0AE052E0">
      <w:pPr>
        <w:autoSpaceDE w:val="0"/>
        <w:autoSpaceDN w:val="0"/>
        <w:adjustRightInd w:val="0"/>
        <w:spacing w:line="360" w:lineRule="auto"/>
        <w:ind w:firstLine="482"/>
        <w:rPr>
          <w:rFonts w:hint="eastAsia" w:ascii="宋体" w:hAnsi="宋体" w:cs="宋体"/>
          <w:color w:val="000000"/>
          <w:kern w:val="0"/>
          <w:sz w:val="24"/>
          <w:szCs w:val="24"/>
        </w:rPr>
      </w:pPr>
      <w:r>
        <w:rPr>
          <w:rFonts w:hint="eastAsia" w:ascii="宋体" w:hAnsi="宋体" w:cs="宋体"/>
          <w:color w:val="000000"/>
          <w:kern w:val="0"/>
          <w:sz w:val="24"/>
          <w:szCs w:val="24"/>
        </w:rPr>
        <w:t>3.</w:t>
      </w:r>
      <w:r>
        <w:rPr>
          <w:rFonts w:hint="eastAsia" w:ascii="宋体" w:hAnsi="宋体" w:cs="宋体"/>
          <w:color w:val="000000"/>
          <w:kern w:val="0"/>
          <w:sz w:val="24"/>
          <w:szCs w:val="24"/>
          <w:lang w:val="zh-CN"/>
        </w:rPr>
        <w:t>1、合格申请人</w:t>
      </w:r>
      <w:r>
        <w:rPr>
          <w:rFonts w:hint="eastAsia" w:ascii="宋体" w:hAnsi="宋体" w:cs="宋体"/>
          <w:color w:val="000000"/>
          <w:kern w:val="0"/>
          <w:sz w:val="24"/>
          <w:szCs w:val="24"/>
        </w:rPr>
        <w:t>必须符合投标须知前附表下的各项要求；</w:t>
      </w:r>
    </w:p>
    <w:p w14:paraId="5AD819CA">
      <w:pPr>
        <w:autoSpaceDE w:val="0"/>
        <w:autoSpaceDN w:val="0"/>
        <w:adjustRightInd w:val="0"/>
        <w:spacing w:line="360" w:lineRule="auto"/>
        <w:ind w:firstLine="482"/>
        <w:rPr>
          <w:rFonts w:hint="eastAsia" w:ascii="宋体" w:hAnsi="宋体" w:cs="宋体"/>
          <w:color w:val="000000"/>
          <w:sz w:val="24"/>
          <w:szCs w:val="24"/>
          <w:lang w:val="zh-CN"/>
        </w:rPr>
      </w:pPr>
      <w:r>
        <w:rPr>
          <w:rFonts w:hint="eastAsia" w:ascii="宋体" w:hAnsi="宋体" w:cs="宋体"/>
          <w:color w:val="000000"/>
          <w:sz w:val="24"/>
          <w:szCs w:val="24"/>
        </w:rPr>
        <w:t>3.2</w:t>
      </w:r>
      <w:r>
        <w:rPr>
          <w:rFonts w:hint="eastAsia" w:ascii="宋体" w:hAnsi="宋体" w:cs="宋体"/>
          <w:color w:val="000000"/>
          <w:kern w:val="0"/>
          <w:sz w:val="24"/>
          <w:szCs w:val="24"/>
          <w:lang w:val="zh-CN"/>
        </w:rPr>
        <w:t>、</w:t>
      </w:r>
      <w:r>
        <w:rPr>
          <w:rFonts w:hint="eastAsia" w:ascii="宋体" w:hAnsi="宋体" w:cs="宋体"/>
          <w:color w:val="000000"/>
          <w:sz w:val="24"/>
          <w:szCs w:val="24"/>
          <w:lang w:val="zh-CN"/>
        </w:rPr>
        <w:t>以上各款关于合格投标人资格条件的要求均须提供中文文本，否则无效，投标人应按第</w:t>
      </w:r>
      <w:r>
        <w:rPr>
          <w:rFonts w:hint="eastAsia" w:ascii="宋体" w:hAnsi="宋体" w:cs="宋体"/>
          <w:color w:val="000000"/>
          <w:sz w:val="24"/>
          <w:szCs w:val="24"/>
        </w:rPr>
        <w:t>六</w:t>
      </w:r>
      <w:r>
        <w:rPr>
          <w:rFonts w:hint="eastAsia" w:ascii="宋体" w:hAnsi="宋体" w:cs="宋体"/>
          <w:color w:val="000000"/>
          <w:sz w:val="24"/>
          <w:szCs w:val="24"/>
          <w:lang w:val="zh-CN"/>
        </w:rPr>
        <w:t>章《投标文件构成、要求及格式》的相关规定提交。</w:t>
      </w:r>
    </w:p>
    <w:p w14:paraId="2F623FFD">
      <w:pPr>
        <w:autoSpaceDE w:val="0"/>
        <w:autoSpaceDN w:val="0"/>
        <w:adjustRightInd w:val="0"/>
        <w:spacing w:line="360" w:lineRule="auto"/>
        <w:ind w:firstLine="482"/>
        <w:rPr>
          <w:rFonts w:hint="eastAsia" w:ascii="宋体" w:hAnsi="宋体" w:cs="宋体"/>
          <w:b/>
          <w:color w:val="000000"/>
          <w:kern w:val="0"/>
          <w:sz w:val="24"/>
          <w:szCs w:val="24"/>
          <w:lang w:val="zh-CN"/>
        </w:rPr>
      </w:pPr>
      <w:r>
        <w:rPr>
          <w:rFonts w:hint="eastAsia" w:ascii="宋体" w:hAnsi="宋体" w:cs="宋体"/>
          <w:b/>
          <w:color w:val="000000"/>
          <w:kern w:val="0"/>
          <w:sz w:val="24"/>
          <w:szCs w:val="24"/>
          <w:lang w:val="zh-CN"/>
        </w:rPr>
        <w:t>4．项目答疑会和踏勘现场：无</w:t>
      </w:r>
    </w:p>
    <w:p w14:paraId="673D8C13">
      <w:pPr>
        <w:autoSpaceDE w:val="0"/>
        <w:autoSpaceDN w:val="0"/>
        <w:adjustRightInd w:val="0"/>
        <w:spacing w:line="360" w:lineRule="auto"/>
        <w:ind w:firstLine="482"/>
        <w:rPr>
          <w:rFonts w:hint="eastAsia" w:ascii="宋体" w:hAnsi="宋体" w:cs="宋体"/>
          <w:color w:val="000000"/>
          <w:sz w:val="24"/>
          <w:szCs w:val="24"/>
          <w:lang w:val="zh-CN"/>
        </w:rPr>
      </w:pPr>
      <w:r>
        <w:rPr>
          <w:rFonts w:hint="eastAsia" w:ascii="宋体" w:hAnsi="宋体" w:cs="宋体"/>
          <w:b/>
          <w:color w:val="000000"/>
          <w:sz w:val="24"/>
          <w:szCs w:val="24"/>
          <w:lang w:val="zh-CN"/>
        </w:rPr>
        <w:t>5．投标费用：</w:t>
      </w:r>
      <w:r>
        <w:rPr>
          <w:rFonts w:hint="eastAsia" w:ascii="宋体" w:hAnsi="宋体" w:cs="宋体"/>
          <w:color w:val="000000"/>
          <w:sz w:val="24"/>
          <w:szCs w:val="24"/>
          <w:lang w:val="zh-CN"/>
        </w:rPr>
        <w:t>投标人应自行承担所有与编写和提交投标文件有关的费用，无论投标的结果如何，采购代理机构和采购人在任何情况下均无义务和责任承担这些费用。</w:t>
      </w:r>
    </w:p>
    <w:p w14:paraId="3F339376">
      <w:pPr>
        <w:autoSpaceDE w:val="0"/>
        <w:autoSpaceDN w:val="0"/>
        <w:adjustRightInd w:val="0"/>
        <w:spacing w:line="360" w:lineRule="auto"/>
        <w:ind w:firstLine="482"/>
        <w:rPr>
          <w:rFonts w:hint="eastAsia" w:ascii="宋体" w:hAnsi="宋体" w:cs="宋体"/>
          <w:b/>
          <w:bCs/>
          <w:sz w:val="24"/>
          <w:szCs w:val="24"/>
          <w:lang w:val="zh-CN"/>
        </w:rPr>
      </w:pPr>
      <w:r>
        <w:rPr>
          <w:rFonts w:hint="eastAsia" w:ascii="宋体" w:hAnsi="宋体" w:cs="宋体"/>
          <w:b/>
          <w:color w:val="000000"/>
          <w:sz w:val="24"/>
          <w:szCs w:val="24"/>
        </w:rPr>
        <w:t>6</w:t>
      </w:r>
      <w:r>
        <w:rPr>
          <w:rFonts w:hint="eastAsia" w:ascii="宋体" w:hAnsi="宋体" w:cs="宋体"/>
          <w:b/>
          <w:color w:val="000000"/>
          <w:sz w:val="24"/>
          <w:szCs w:val="24"/>
          <w:lang w:val="zh-CN"/>
        </w:rPr>
        <w:t>．</w:t>
      </w:r>
      <w:r>
        <w:rPr>
          <w:rFonts w:hint="eastAsia" w:ascii="宋体" w:hAnsi="宋体" w:cs="宋体"/>
          <w:b/>
          <w:bCs/>
          <w:sz w:val="24"/>
          <w:szCs w:val="24"/>
          <w:lang w:val="zh-CN"/>
        </w:rPr>
        <w:t>关于政府采购政策（包括但不限于下列具体政策要求）</w:t>
      </w:r>
    </w:p>
    <w:p w14:paraId="38ACF88C">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6.</w:t>
      </w:r>
      <w:r>
        <w:rPr>
          <w:rFonts w:hint="eastAsia" w:ascii="宋体" w:hAnsi="宋体" w:cs="宋体"/>
          <w:sz w:val="24"/>
          <w:szCs w:val="24"/>
          <w:lang w:val="zh-CN"/>
        </w:rPr>
        <w:t>1．对中小企业、监狱企业、残疾人福利性单位的优惠政策</w:t>
      </w:r>
    </w:p>
    <w:p w14:paraId="5EC7F52A">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(1)</w:t>
      </w:r>
      <w:r>
        <w:rPr>
          <w:rFonts w:hint="eastAsia" w:ascii="宋体" w:hAnsi="宋体" w:cs="宋体"/>
          <w:color w:val="000000"/>
          <w:sz w:val="24"/>
          <w:szCs w:val="24"/>
          <w:lang w:val="zh-CN"/>
        </w:rPr>
        <w:t>根据《政府采购促进中小企业发展管理办法》(财库[2020]46号)、</w:t>
      </w:r>
      <w:r>
        <w:rPr>
          <w:rFonts w:hint="eastAsia" w:ascii="宋体" w:hAnsi="宋体" w:cs="宋体"/>
          <w:sz w:val="24"/>
          <w:szCs w:val="24"/>
        </w:rPr>
        <w:t>《财政部关于进一步加大政府采购支持中小企业力度的通知》（财库[2022]19号）</w:t>
      </w:r>
      <w:r>
        <w:rPr>
          <w:rFonts w:hint="eastAsia" w:ascii="宋体" w:hAnsi="宋体" w:cs="宋体"/>
          <w:color w:val="000000"/>
          <w:sz w:val="24"/>
          <w:szCs w:val="24"/>
          <w:lang w:val="zh-CN"/>
        </w:rPr>
        <w:t>，对符合本办法规定的小微企业，评标时应当给予</w:t>
      </w:r>
      <w:r>
        <w:rPr>
          <w:rFonts w:hint="eastAsia" w:ascii="宋体" w:hAnsi="宋体" w:cs="宋体"/>
          <w:color w:val="000000"/>
          <w:sz w:val="24"/>
          <w:szCs w:val="24"/>
        </w:rPr>
        <w:t>10</w:t>
      </w:r>
      <w:r>
        <w:rPr>
          <w:rFonts w:hint="eastAsia" w:ascii="宋体" w:hAnsi="宋体" w:cs="宋体"/>
          <w:color w:val="000000"/>
          <w:sz w:val="24"/>
          <w:szCs w:val="24"/>
          <w:lang w:val="zh-CN"/>
        </w:rPr>
        <w:t>%的价格扣除，用扣除后的价格参与评审。</w:t>
      </w:r>
      <w:r>
        <w:rPr>
          <w:rFonts w:hint="eastAsia" w:ascii="宋体" w:hAnsi="宋体" w:cs="宋体"/>
          <w:sz w:val="24"/>
          <w:szCs w:val="24"/>
          <w:lang w:val="zh-CN"/>
        </w:rPr>
        <w:t>同时，依据〔202</w:t>
      </w:r>
      <w:r>
        <w:rPr>
          <w:rFonts w:hint="eastAsia" w:ascii="宋体" w:hAnsi="宋体" w:cs="宋体"/>
          <w:sz w:val="24"/>
          <w:szCs w:val="24"/>
        </w:rPr>
        <w:t>0</w:t>
      </w:r>
      <w:r>
        <w:rPr>
          <w:rFonts w:hint="eastAsia" w:ascii="宋体" w:hAnsi="宋体" w:cs="宋体"/>
          <w:sz w:val="24"/>
          <w:szCs w:val="24"/>
          <w:lang w:val="zh-CN"/>
        </w:rPr>
        <w:t>〕46 号文</w:t>
      </w:r>
      <w:r>
        <w:rPr>
          <w:rFonts w:hint="eastAsia" w:ascii="宋体" w:hAnsi="宋体" w:cs="宋体"/>
          <w:sz w:val="24"/>
          <w:szCs w:val="24"/>
        </w:rPr>
        <w:t>件</w:t>
      </w:r>
      <w:r>
        <w:rPr>
          <w:rFonts w:hint="eastAsia" w:ascii="宋体" w:hAnsi="宋体" w:cs="宋体"/>
          <w:sz w:val="24"/>
          <w:szCs w:val="24"/>
          <w:lang w:val="zh-CN"/>
        </w:rPr>
        <w:t>第四条第二款规定在货物采购项目中，服务商提供的货物既有中小企业制造货物，也有大型企业制造货物的，不享受中小企业扶持政策。</w:t>
      </w:r>
    </w:p>
    <w:p w14:paraId="38153216">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 根据《关于政府采购支持监狱企业发展有关问题的通知》(财库[2014]68号)，在政府采购活动中，监狱企业视同小型、微型企业，监狱企业投标的提供由省级以上监狱管理局、戒毒管理局(含新疆生产建设兵团)出具的属于监狱企业的证明文件，不再提供《中小微企业声明函》。</w:t>
      </w:r>
    </w:p>
    <w:p w14:paraId="202F4A10">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 xml:space="preserve">(3) </w:t>
      </w:r>
      <w:r>
        <w:rPr>
          <w:rFonts w:hint="eastAsia" w:ascii="宋体" w:hAnsi="宋体" w:cs="宋体"/>
          <w:color w:val="000000"/>
          <w:sz w:val="24"/>
          <w:szCs w:val="24"/>
          <w:lang w:val="zh-CN"/>
        </w:rPr>
        <w:t>根据《关于促进残疾人就业政府采购政策的通知》(财库[2017]141号)，在政府采购活动中，残疾人福利性单位视同小型、微型企业，符合条件的残疾人福利性单位应当提供《残疾人福利性单位声明函》，并对声明的真实性负责。任何单位或者个人在政府采购活动中均不得要求残疾人福利性单位提供其他证明声明函内容的材料。残疾人福利性单位属于小型、微型企业的，不重复享受政策</w:t>
      </w:r>
      <w:r>
        <w:rPr>
          <w:rFonts w:hint="eastAsia" w:ascii="宋体" w:hAnsi="宋体" w:cs="宋体"/>
          <w:sz w:val="24"/>
          <w:szCs w:val="24"/>
          <w:lang w:val="zh-CN"/>
        </w:rPr>
        <w:t>。</w:t>
      </w:r>
    </w:p>
    <w:p w14:paraId="51391A02">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(4) 参加政府采购活动的中小企业、监狱企业、残疾人福利性单位应根据企业性质分别提供《中小企业声明函》/《监狱企业证明函》/《残疾人福利性单位声明函》。其中，《监狱企业证明函》应由省级以上监狱管理局、戒毒管理局(含新疆生产建设兵团)出具。未提供上述声明函/证明函的，不能享受招标文件规定的价格扣除，但不影响投标文件的有效性。</w:t>
      </w:r>
    </w:p>
    <w:p w14:paraId="16A7A289">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6.</w:t>
      </w:r>
      <w:r>
        <w:rPr>
          <w:rFonts w:hint="eastAsia" w:ascii="宋体" w:hAnsi="宋体" w:cs="宋体"/>
          <w:sz w:val="24"/>
          <w:szCs w:val="24"/>
          <w:lang w:val="zh-CN"/>
        </w:rPr>
        <w:t>2．节能、环保产品采购政策</w:t>
      </w:r>
    </w:p>
    <w:p w14:paraId="38131326">
      <w:pPr>
        <w:autoSpaceDE w:val="0"/>
        <w:autoSpaceDN w:val="0"/>
        <w:adjustRightInd w:val="0"/>
        <w:spacing w:line="360" w:lineRule="auto"/>
        <w:ind w:firstLine="480" w:firstLineChars="200"/>
        <w:jc w:val="left"/>
        <w:rPr>
          <w:rFonts w:hint="eastAsia" w:ascii="宋体" w:hAnsi="宋体" w:cs="宋体"/>
          <w:sz w:val="24"/>
          <w:szCs w:val="24"/>
          <w:lang w:val="zh-CN"/>
        </w:rPr>
      </w:pPr>
      <w:r>
        <w:rPr>
          <w:rFonts w:hint="eastAsia" w:ascii="宋体" w:hAnsi="宋体" w:cs="宋体"/>
          <w:sz w:val="24"/>
          <w:szCs w:val="24"/>
          <w:lang w:val="zh-CN"/>
        </w:rPr>
        <w:t>(1) 根据财政部、发展改革委、生态环境部、市场监管总局《关于调整优化节能产品、环境标志产品政府采购执行机制的通知》(财库〔2019〕9 号) 规定“对政府采购节能产品、环境标志产品实施品目清单管理”。采购人拟采购的产品属于品目清单范围的，依据国家确定的认证机构出具的、处于有效期之内的节能产品、环境标志产品认证证书，对获得证书的产品实施政府优先采购或强制采购。</w:t>
      </w:r>
    </w:p>
    <w:p w14:paraId="4ED2672E">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(2) 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78CD2966">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(3)《节能产品政府采购品目清单》见财政部、发展改革委《关于印发节能产品政府采购品目清单的通知》(财库〔2019〕19 号) 附件。</w:t>
      </w:r>
    </w:p>
    <w:p w14:paraId="71BA1827">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(4)《环境标志产品政府采购品目清单》见财政部、生态环境部《关于印发环境标志产品政府采购品目清单的通知》(财库〔2019〕18 号) 附件。</w:t>
      </w:r>
    </w:p>
    <w:p w14:paraId="0B3D71CE">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(5) “国家确定的认证机构”名单见市场监管总局《关于发布参与实施政府采购节能产品、环境标志产品认证机构名录的公告》(2019 年第 16 号)。</w:t>
      </w:r>
    </w:p>
    <w:p w14:paraId="4F439306">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6.3. 政府采购进口产品的规定 </w:t>
      </w:r>
    </w:p>
    <w:p w14:paraId="6E6C26F1">
      <w:pPr>
        <w:spacing w:line="360" w:lineRule="auto"/>
        <w:ind w:firstLine="480" w:firstLineChars="200"/>
        <w:rPr>
          <w:rFonts w:hint="eastAsia" w:ascii="宋体" w:hAnsi="宋体" w:cs="宋体"/>
          <w:sz w:val="24"/>
          <w:szCs w:val="24"/>
        </w:rPr>
      </w:pPr>
      <w:r>
        <w:rPr>
          <w:rFonts w:hint="eastAsia" w:ascii="宋体" w:hAnsi="宋体" w:cs="宋体"/>
          <w:sz w:val="24"/>
          <w:szCs w:val="24"/>
        </w:rPr>
        <w:t>按照财政部《政府采购进口产品管理办法》第一章第四条关于“政府采购应当采购本国产品，确需采购进口产品（指通过中国海关报关验放进入中国境内且产自关境外的产品）的，实行审核管理”的规定，招标采购文件中凡未明确标明采购进口产品的，均为采购本国产品，投标人必须投标本国产品，投标进口产品的为无效投标。在中国境内生产或组装的外国品牌产品须标明该产品在中国国内制造厂商名称。否则，按进口产品对待。</w:t>
      </w:r>
    </w:p>
    <w:p w14:paraId="461EDC9E">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6.4.正版软件 </w:t>
      </w:r>
    </w:p>
    <w:p w14:paraId="290276FC">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6.4.1 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w:t>
      </w:r>
    </w:p>
    <w:p w14:paraId="5E9B765D">
      <w:pPr>
        <w:spacing w:line="360" w:lineRule="auto"/>
        <w:rPr>
          <w:rFonts w:hint="eastAsia" w:ascii="宋体" w:hAnsi="宋体" w:cs="宋体"/>
          <w:sz w:val="24"/>
          <w:szCs w:val="24"/>
        </w:rPr>
      </w:pPr>
      <w:r>
        <w:rPr>
          <w:rFonts w:hint="eastAsia" w:ascii="宋体" w:hAnsi="宋体" w:cs="宋体"/>
          <w:sz w:val="24"/>
          <w:szCs w:val="24"/>
        </w:rPr>
        <w:t xml:space="preserve">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0D18BF4E">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6.4.2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 </w:t>
      </w:r>
    </w:p>
    <w:p w14:paraId="096FCDEF">
      <w:pPr>
        <w:spacing w:line="360" w:lineRule="auto"/>
        <w:rPr>
          <w:rFonts w:hint="eastAsia" w:ascii="宋体" w:hAnsi="宋体" w:cs="宋体"/>
          <w:sz w:val="24"/>
          <w:szCs w:val="24"/>
        </w:rPr>
      </w:pPr>
      <w:r>
        <w:rPr>
          <w:rFonts w:hint="eastAsia" w:ascii="宋体" w:hAnsi="宋体" w:cs="宋体"/>
          <w:sz w:val="24"/>
          <w:szCs w:val="24"/>
        </w:rPr>
        <w:t xml:space="preserve">《国务院办公厅关于进一步做好政府机关使用正版软件工作的通知》 （国办发〔2010〕47 号）、《财政部关于进一步做好政府机关使用正版软件工作的通知》（财预〔2010〕536 号）。 </w:t>
      </w:r>
    </w:p>
    <w:p w14:paraId="213BFEF3">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6.5 网络安全专用产品 </w:t>
      </w:r>
    </w:p>
    <w:p w14:paraId="15B081CD">
      <w:pPr>
        <w:spacing w:line="360" w:lineRule="auto"/>
        <w:ind w:firstLine="480" w:firstLineChars="200"/>
        <w:rPr>
          <w:rFonts w:hint="eastAsia" w:ascii="宋体" w:hAnsi="宋体" w:cs="宋体"/>
          <w:sz w:val="24"/>
          <w:szCs w:val="24"/>
        </w:rPr>
      </w:pPr>
      <w:r>
        <w:rPr>
          <w:rFonts w:hint="eastAsia" w:ascii="宋体" w:hAnsi="宋体" w:cs="宋体"/>
          <w:sz w:val="24"/>
          <w:szCs w:val="24"/>
        </w:rPr>
        <w:t>6.5.1 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2F7060ED">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rPr>
        <w:t>7</w:t>
      </w:r>
      <w:r>
        <w:rPr>
          <w:rFonts w:hint="eastAsia" w:ascii="宋体" w:hAnsi="宋体" w:cs="宋体"/>
          <w:b/>
          <w:color w:val="000000"/>
          <w:sz w:val="24"/>
          <w:szCs w:val="24"/>
          <w:lang w:val="zh-CN"/>
        </w:rPr>
        <w:t>. 招标文件：</w:t>
      </w:r>
    </w:p>
    <w:p w14:paraId="05433A92">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rPr>
        <w:t>7</w:t>
      </w:r>
      <w:r>
        <w:rPr>
          <w:rFonts w:hint="eastAsia" w:ascii="宋体" w:hAnsi="宋体" w:cs="宋体"/>
          <w:color w:val="000000"/>
          <w:sz w:val="24"/>
          <w:szCs w:val="24"/>
          <w:lang w:val="zh-CN"/>
        </w:rPr>
        <w:t>.1 招标文件的构成：</w:t>
      </w:r>
    </w:p>
    <w:p w14:paraId="7F2A97AD">
      <w:pPr>
        <w:autoSpaceDE w:val="0"/>
        <w:autoSpaceDN w:val="0"/>
        <w:adjustRightInd w:val="0"/>
        <w:spacing w:line="360" w:lineRule="auto"/>
        <w:ind w:firstLine="720"/>
        <w:rPr>
          <w:rFonts w:hint="eastAsia" w:ascii="宋体" w:hAnsi="宋体" w:cs="宋体"/>
          <w:color w:val="000000"/>
          <w:sz w:val="24"/>
          <w:szCs w:val="24"/>
          <w:lang w:val="zh-CN"/>
        </w:rPr>
      </w:pPr>
      <w:r>
        <w:rPr>
          <w:rFonts w:hint="eastAsia" w:ascii="宋体" w:hAnsi="宋体" w:cs="宋体"/>
          <w:color w:val="000000"/>
          <w:sz w:val="24"/>
          <w:szCs w:val="24"/>
          <w:lang w:val="zh-CN"/>
        </w:rPr>
        <w:t>第一章 招标公告</w:t>
      </w:r>
    </w:p>
    <w:p w14:paraId="2009C13C">
      <w:pPr>
        <w:autoSpaceDE w:val="0"/>
        <w:autoSpaceDN w:val="0"/>
        <w:adjustRightInd w:val="0"/>
        <w:spacing w:line="360" w:lineRule="auto"/>
        <w:ind w:firstLine="720"/>
        <w:rPr>
          <w:rFonts w:hint="eastAsia" w:ascii="宋体" w:hAnsi="宋体" w:cs="宋体"/>
          <w:color w:val="000000"/>
          <w:sz w:val="24"/>
          <w:szCs w:val="24"/>
          <w:lang w:val="zh-CN"/>
        </w:rPr>
      </w:pPr>
      <w:r>
        <w:rPr>
          <w:rFonts w:hint="eastAsia" w:ascii="宋体" w:hAnsi="宋体" w:cs="宋体"/>
          <w:color w:val="000000"/>
          <w:sz w:val="24"/>
          <w:szCs w:val="24"/>
          <w:lang w:val="zh-CN"/>
        </w:rPr>
        <w:t>第二章 投标人须知</w:t>
      </w:r>
    </w:p>
    <w:p w14:paraId="3146D82A">
      <w:pPr>
        <w:autoSpaceDE w:val="0"/>
        <w:autoSpaceDN w:val="0"/>
        <w:adjustRightInd w:val="0"/>
        <w:spacing w:line="360" w:lineRule="auto"/>
        <w:ind w:firstLine="720"/>
        <w:rPr>
          <w:rFonts w:hint="eastAsia" w:ascii="宋体" w:hAnsi="宋体" w:cs="宋体"/>
          <w:color w:val="000000"/>
          <w:sz w:val="24"/>
          <w:szCs w:val="24"/>
          <w:lang w:val="zh-CN"/>
        </w:rPr>
      </w:pPr>
      <w:r>
        <w:rPr>
          <w:rFonts w:hint="eastAsia" w:ascii="宋体" w:hAnsi="宋体" w:cs="宋体"/>
          <w:color w:val="000000"/>
          <w:sz w:val="24"/>
          <w:szCs w:val="24"/>
          <w:lang w:val="zh-CN"/>
        </w:rPr>
        <w:t>第三章 评标标准和方法</w:t>
      </w:r>
    </w:p>
    <w:p w14:paraId="05DF9409">
      <w:pPr>
        <w:autoSpaceDE w:val="0"/>
        <w:autoSpaceDN w:val="0"/>
        <w:adjustRightInd w:val="0"/>
        <w:spacing w:line="360" w:lineRule="auto"/>
        <w:ind w:firstLine="720"/>
        <w:rPr>
          <w:rFonts w:hint="eastAsia" w:ascii="宋体" w:hAnsi="宋体" w:cs="宋体"/>
          <w:color w:val="000000"/>
          <w:sz w:val="24"/>
          <w:szCs w:val="24"/>
          <w:lang w:val="zh-CN"/>
        </w:rPr>
      </w:pPr>
      <w:r>
        <w:rPr>
          <w:rFonts w:hint="eastAsia" w:ascii="宋体" w:hAnsi="宋体" w:cs="宋体"/>
          <w:color w:val="000000"/>
          <w:sz w:val="24"/>
          <w:szCs w:val="24"/>
          <w:lang w:val="zh-CN"/>
        </w:rPr>
        <w:t>第</w:t>
      </w:r>
      <w:r>
        <w:rPr>
          <w:rFonts w:hint="eastAsia" w:ascii="宋体" w:hAnsi="宋体" w:cs="宋体"/>
          <w:color w:val="000000"/>
          <w:sz w:val="24"/>
          <w:szCs w:val="24"/>
        </w:rPr>
        <w:t>四</w:t>
      </w:r>
      <w:r>
        <w:rPr>
          <w:rFonts w:hint="eastAsia" w:ascii="宋体" w:hAnsi="宋体" w:cs="宋体"/>
          <w:color w:val="000000"/>
          <w:sz w:val="24"/>
          <w:szCs w:val="24"/>
          <w:lang w:val="zh-CN"/>
        </w:rPr>
        <w:t>章 政府采购合同书格式</w:t>
      </w:r>
    </w:p>
    <w:p w14:paraId="6D3EC966">
      <w:pPr>
        <w:autoSpaceDE w:val="0"/>
        <w:autoSpaceDN w:val="0"/>
        <w:adjustRightInd w:val="0"/>
        <w:spacing w:line="360" w:lineRule="auto"/>
        <w:ind w:firstLine="720"/>
        <w:rPr>
          <w:rFonts w:hint="eastAsia" w:ascii="宋体" w:hAnsi="宋体" w:cs="宋体"/>
          <w:color w:val="000000"/>
          <w:sz w:val="24"/>
          <w:szCs w:val="24"/>
          <w:lang w:val="zh-CN"/>
        </w:rPr>
      </w:pPr>
      <w:r>
        <w:rPr>
          <w:rFonts w:hint="eastAsia" w:ascii="宋体" w:hAnsi="宋体" w:cs="宋体"/>
          <w:color w:val="000000"/>
          <w:sz w:val="24"/>
          <w:szCs w:val="24"/>
          <w:lang w:val="zh-CN"/>
        </w:rPr>
        <w:t>第</w:t>
      </w:r>
      <w:r>
        <w:rPr>
          <w:rFonts w:hint="eastAsia" w:ascii="宋体" w:hAnsi="宋体" w:cs="宋体"/>
          <w:color w:val="000000"/>
          <w:sz w:val="24"/>
          <w:szCs w:val="24"/>
        </w:rPr>
        <w:t>五</w:t>
      </w:r>
      <w:r>
        <w:rPr>
          <w:rFonts w:hint="eastAsia" w:ascii="宋体" w:hAnsi="宋体" w:cs="宋体"/>
          <w:color w:val="000000"/>
          <w:sz w:val="24"/>
          <w:szCs w:val="24"/>
          <w:lang w:val="zh-CN"/>
        </w:rPr>
        <w:t>章 采购需求</w:t>
      </w:r>
    </w:p>
    <w:p w14:paraId="1CC14DBC">
      <w:pPr>
        <w:autoSpaceDE w:val="0"/>
        <w:autoSpaceDN w:val="0"/>
        <w:adjustRightInd w:val="0"/>
        <w:spacing w:line="360" w:lineRule="auto"/>
        <w:ind w:firstLine="720"/>
        <w:rPr>
          <w:rFonts w:hint="eastAsia" w:ascii="宋体" w:hAnsi="宋体" w:cs="宋体"/>
          <w:b/>
          <w:color w:val="000000"/>
          <w:sz w:val="24"/>
          <w:szCs w:val="24"/>
          <w:lang w:val="zh-CN"/>
        </w:rPr>
      </w:pPr>
      <w:r>
        <w:rPr>
          <w:rFonts w:hint="eastAsia" w:ascii="宋体" w:hAnsi="宋体" w:cs="宋体"/>
          <w:color w:val="000000"/>
          <w:sz w:val="24"/>
          <w:szCs w:val="24"/>
          <w:lang w:val="zh-CN"/>
        </w:rPr>
        <w:t>第</w:t>
      </w:r>
      <w:r>
        <w:rPr>
          <w:rFonts w:hint="eastAsia" w:ascii="宋体" w:hAnsi="宋体" w:cs="宋体"/>
          <w:color w:val="000000"/>
          <w:sz w:val="24"/>
          <w:szCs w:val="24"/>
        </w:rPr>
        <w:t>六</w:t>
      </w:r>
      <w:r>
        <w:rPr>
          <w:rFonts w:hint="eastAsia" w:ascii="宋体" w:hAnsi="宋体" w:cs="宋体"/>
          <w:color w:val="000000"/>
          <w:sz w:val="24"/>
          <w:szCs w:val="24"/>
          <w:lang w:val="zh-CN"/>
        </w:rPr>
        <w:t>章 投标文件构成、要求及格式</w:t>
      </w:r>
    </w:p>
    <w:p w14:paraId="3ECFEC8E">
      <w:pPr>
        <w:autoSpaceDE w:val="0"/>
        <w:autoSpaceDN w:val="0"/>
        <w:adjustRightInd w:val="0"/>
        <w:spacing w:line="360" w:lineRule="auto"/>
        <w:ind w:firstLine="720"/>
        <w:rPr>
          <w:rFonts w:hint="eastAsia" w:ascii="宋体" w:hAnsi="宋体" w:cs="宋体"/>
          <w:color w:val="000000"/>
          <w:sz w:val="24"/>
          <w:szCs w:val="24"/>
          <w:lang w:val="zh-CN"/>
        </w:rPr>
      </w:pPr>
      <w:r>
        <w:rPr>
          <w:rFonts w:hint="eastAsia" w:ascii="宋体" w:hAnsi="宋体" w:cs="宋体"/>
          <w:color w:val="000000"/>
          <w:sz w:val="24"/>
          <w:szCs w:val="24"/>
          <w:lang w:val="zh-CN"/>
        </w:rPr>
        <w:t>第</w:t>
      </w:r>
      <w:r>
        <w:rPr>
          <w:rFonts w:hint="eastAsia" w:ascii="宋体" w:hAnsi="宋体" w:cs="宋体"/>
          <w:color w:val="000000"/>
          <w:sz w:val="24"/>
          <w:szCs w:val="24"/>
        </w:rPr>
        <w:t>七</w:t>
      </w:r>
      <w:r>
        <w:rPr>
          <w:rFonts w:hint="eastAsia" w:ascii="宋体" w:hAnsi="宋体" w:cs="宋体"/>
          <w:color w:val="000000"/>
          <w:sz w:val="24"/>
          <w:szCs w:val="24"/>
          <w:lang w:val="zh-CN"/>
        </w:rPr>
        <w:t>章 附件</w:t>
      </w:r>
    </w:p>
    <w:p w14:paraId="49B2D376">
      <w:pPr>
        <w:autoSpaceDE w:val="0"/>
        <w:autoSpaceDN w:val="0"/>
        <w:adjustRightInd w:val="0"/>
        <w:spacing w:line="360" w:lineRule="auto"/>
        <w:ind w:firstLine="480"/>
        <w:rPr>
          <w:rFonts w:hint="eastAsia" w:ascii="宋体" w:hAnsi="宋体" w:cs="宋体"/>
          <w:b/>
          <w:color w:val="000000"/>
          <w:sz w:val="24"/>
          <w:szCs w:val="24"/>
          <w:lang w:val="zh-CN"/>
        </w:rPr>
      </w:pPr>
      <w:r>
        <w:rPr>
          <w:rFonts w:hint="eastAsia" w:ascii="宋体" w:hAnsi="宋体" w:cs="宋体"/>
          <w:color w:val="000000"/>
          <w:sz w:val="24"/>
          <w:szCs w:val="24"/>
        </w:rPr>
        <w:t>7</w:t>
      </w:r>
      <w:r>
        <w:rPr>
          <w:rFonts w:hint="eastAsia" w:ascii="宋体" w:hAnsi="宋体" w:cs="宋体"/>
          <w:color w:val="000000"/>
          <w:sz w:val="24"/>
          <w:szCs w:val="24"/>
          <w:lang w:val="zh-CN"/>
        </w:rPr>
        <w:t>.2投标人应认真阅读招标文件中所有事项、格式、条款和规范等要求。如果投标人没有按照招标文件要求提交全部文件资料或投标文件没有对招标文件在各方面都做出实质性响应，是投标人的风险。</w:t>
      </w:r>
    </w:p>
    <w:p w14:paraId="6C672178">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rPr>
        <w:t>8</w:t>
      </w:r>
      <w:r>
        <w:rPr>
          <w:rFonts w:hint="eastAsia" w:ascii="宋体" w:hAnsi="宋体" w:cs="宋体"/>
          <w:b/>
          <w:color w:val="000000"/>
          <w:sz w:val="24"/>
          <w:szCs w:val="24"/>
          <w:lang w:val="zh-CN"/>
        </w:rPr>
        <w:t>. 招标文件的澄清和修改</w:t>
      </w:r>
    </w:p>
    <w:p w14:paraId="4B7BDCFF">
      <w:pPr>
        <w:autoSpaceDE w:val="0"/>
        <w:autoSpaceDN w:val="0"/>
        <w:adjustRightInd w:val="0"/>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8.1 采购人或采购代理机构对已发出的招标文件进行必要澄清或者修改的，将在原公告发布媒体上发布更正公告，并以书面形式通知所有获取招标文件的潜在投标人。</w:t>
      </w:r>
    </w:p>
    <w:p w14:paraId="69DA0BC2">
      <w:pPr>
        <w:autoSpaceDE w:val="0"/>
        <w:autoSpaceDN w:val="0"/>
        <w:adjustRightInd w:val="0"/>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8.2 上述书面通知，按照获取招标文件的潜在投标人</w:t>
      </w:r>
      <w:r>
        <w:rPr>
          <w:rFonts w:hint="eastAsia" w:ascii="宋体" w:hAnsi="宋体" w:cs="宋体"/>
          <w:color w:val="000000"/>
          <w:sz w:val="24"/>
          <w:szCs w:val="24"/>
        </w:rPr>
        <w:t>提</w:t>
      </w:r>
      <w:r>
        <w:rPr>
          <w:rFonts w:hint="eastAsia" w:ascii="宋体" w:hAnsi="宋体" w:cs="宋体"/>
          <w:color w:val="000000"/>
          <w:sz w:val="24"/>
          <w:szCs w:val="24"/>
          <w:lang w:val="zh-CN"/>
        </w:rPr>
        <w:t>供的联系方式发出，因</w:t>
      </w:r>
      <w:r>
        <w:rPr>
          <w:rFonts w:hint="eastAsia" w:ascii="宋体" w:hAnsi="宋体" w:cs="宋体"/>
          <w:color w:val="000000"/>
          <w:sz w:val="24"/>
          <w:szCs w:val="24"/>
        </w:rPr>
        <w:t>提</w:t>
      </w:r>
      <w:r>
        <w:rPr>
          <w:rFonts w:hint="eastAsia" w:ascii="宋体" w:hAnsi="宋体" w:cs="宋体"/>
          <w:color w:val="000000"/>
          <w:sz w:val="24"/>
          <w:szCs w:val="24"/>
          <w:lang w:val="zh-CN"/>
        </w:rPr>
        <w:t xml:space="preserve">供的信息有误导致通知延迟或无法通知的，采购人或采购代理机构不承担责任。 </w:t>
      </w:r>
    </w:p>
    <w:p w14:paraId="6D020B9B">
      <w:pPr>
        <w:autoSpaceDE w:val="0"/>
        <w:autoSpaceDN w:val="0"/>
        <w:adjustRightInd w:val="0"/>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8.3 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日前，以书面形式通知所有获取招标文件的潜在投标人；不足 15 日的，将顺延</w:t>
      </w:r>
      <w:r>
        <w:rPr>
          <w:rFonts w:hint="eastAsia" w:ascii="宋体" w:hAnsi="宋体" w:cs="宋体"/>
          <w:color w:val="000000"/>
          <w:sz w:val="24"/>
          <w:szCs w:val="24"/>
        </w:rPr>
        <w:t>提</w:t>
      </w:r>
      <w:r>
        <w:rPr>
          <w:rFonts w:hint="eastAsia" w:ascii="宋体" w:hAnsi="宋体" w:cs="宋体"/>
          <w:color w:val="000000"/>
          <w:sz w:val="24"/>
          <w:szCs w:val="24"/>
          <w:lang w:val="zh-CN"/>
        </w:rPr>
        <w:t>交投标文件的截止时间和开标时间。</w:t>
      </w:r>
    </w:p>
    <w:p w14:paraId="02843C5D">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rPr>
        <w:t>9</w:t>
      </w:r>
      <w:r>
        <w:rPr>
          <w:rFonts w:hint="eastAsia" w:ascii="宋体" w:hAnsi="宋体" w:cs="宋体"/>
          <w:b/>
          <w:color w:val="000000"/>
          <w:sz w:val="24"/>
          <w:szCs w:val="24"/>
          <w:lang w:val="zh-CN"/>
        </w:rPr>
        <w:t>. 投标文件构成：</w:t>
      </w:r>
    </w:p>
    <w:p w14:paraId="260C636D">
      <w:pPr>
        <w:tabs>
          <w:tab w:val="left" w:pos="709"/>
        </w:tabs>
        <w:autoSpaceDE w:val="0"/>
        <w:autoSpaceDN w:val="0"/>
        <w:adjustRightInd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rPr>
        <w:t>9</w:t>
      </w:r>
      <w:r>
        <w:rPr>
          <w:rFonts w:hint="eastAsia" w:ascii="宋体" w:hAnsi="宋体" w:cs="宋体"/>
          <w:color w:val="000000"/>
          <w:kern w:val="0"/>
          <w:sz w:val="24"/>
          <w:szCs w:val="24"/>
          <w:lang w:val="zh-CN"/>
        </w:rPr>
        <w:t>.</w:t>
      </w:r>
      <w:r>
        <w:rPr>
          <w:rFonts w:hint="eastAsia" w:ascii="宋体" w:hAnsi="宋体" w:cs="宋体"/>
          <w:color w:val="000000"/>
          <w:kern w:val="0"/>
          <w:sz w:val="24"/>
          <w:szCs w:val="24"/>
        </w:rPr>
        <w:t>1</w:t>
      </w:r>
      <w:r>
        <w:rPr>
          <w:rFonts w:hint="eastAsia" w:ascii="宋体" w:hAnsi="宋体" w:cs="宋体"/>
          <w:color w:val="000000"/>
          <w:kern w:val="0"/>
          <w:sz w:val="24"/>
          <w:szCs w:val="24"/>
          <w:lang w:val="zh-CN"/>
        </w:rPr>
        <w:t xml:space="preserve"> 投标人应提交本招标文件第</w:t>
      </w:r>
      <w:r>
        <w:rPr>
          <w:rFonts w:hint="eastAsia" w:ascii="宋体" w:hAnsi="宋体" w:cs="宋体"/>
          <w:color w:val="000000"/>
          <w:kern w:val="0"/>
          <w:sz w:val="24"/>
          <w:szCs w:val="24"/>
        </w:rPr>
        <w:t>六</w:t>
      </w:r>
      <w:r>
        <w:rPr>
          <w:rFonts w:hint="eastAsia" w:ascii="宋体" w:hAnsi="宋体" w:cs="宋体"/>
          <w:color w:val="000000"/>
          <w:kern w:val="0"/>
          <w:sz w:val="24"/>
          <w:szCs w:val="24"/>
          <w:lang w:val="zh-CN"/>
        </w:rPr>
        <w:t>章</w:t>
      </w:r>
      <w:r>
        <w:rPr>
          <w:rFonts w:hint="eastAsia" w:ascii="宋体" w:hAnsi="宋体" w:cs="宋体"/>
          <w:color w:val="000000"/>
          <w:sz w:val="24"/>
          <w:szCs w:val="24"/>
          <w:lang w:val="zh-CN"/>
        </w:rPr>
        <w:t>《投标文件构成、要求及格式》</w:t>
      </w:r>
      <w:r>
        <w:rPr>
          <w:rFonts w:hint="eastAsia" w:ascii="宋体" w:hAnsi="宋体" w:cs="宋体"/>
          <w:color w:val="000000"/>
          <w:kern w:val="0"/>
          <w:sz w:val="24"/>
          <w:szCs w:val="24"/>
          <w:lang w:val="zh-CN"/>
        </w:rPr>
        <w:t>规定的全部</w:t>
      </w:r>
      <w:r>
        <w:rPr>
          <w:rFonts w:hint="eastAsia" w:ascii="宋体" w:hAnsi="宋体" w:cs="宋体"/>
          <w:bCs/>
          <w:color w:val="000000"/>
          <w:sz w:val="24"/>
          <w:szCs w:val="24"/>
          <w:lang w:val="zh-CN"/>
        </w:rPr>
        <w:t>资格审查文件部分、商务</w:t>
      </w:r>
      <w:r>
        <w:rPr>
          <w:rFonts w:hint="eastAsia" w:ascii="宋体" w:hAnsi="宋体" w:cs="宋体"/>
          <w:bCs/>
          <w:color w:val="000000"/>
          <w:sz w:val="24"/>
          <w:szCs w:val="24"/>
        </w:rPr>
        <w:t>和</w:t>
      </w:r>
      <w:r>
        <w:rPr>
          <w:rFonts w:hint="eastAsia" w:ascii="宋体" w:hAnsi="宋体" w:cs="宋体"/>
          <w:bCs/>
          <w:color w:val="000000"/>
          <w:sz w:val="24"/>
          <w:szCs w:val="24"/>
          <w:lang w:val="zh-CN"/>
        </w:rPr>
        <w:t>技术部分</w:t>
      </w:r>
      <w:r>
        <w:rPr>
          <w:rFonts w:hint="eastAsia" w:ascii="宋体" w:hAnsi="宋体" w:cs="宋体"/>
          <w:color w:val="000000"/>
          <w:kern w:val="0"/>
          <w:sz w:val="24"/>
          <w:szCs w:val="24"/>
          <w:lang w:val="zh-CN"/>
        </w:rPr>
        <w:t>，若有缺失、无效或者不符合招标文件要求，将导致其投标被拒绝。</w:t>
      </w:r>
    </w:p>
    <w:p w14:paraId="444F0373">
      <w:pPr>
        <w:tabs>
          <w:tab w:val="left" w:pos="709"/>
        </w:tabs>
        <w:autoSpaceDE w:val="0"/>
        <w:autoSpaceDN w:val="0"/>
        <w:adjustRightInd w:val="0"/>
        <w:spacing w:line="360" w:lineRule="auto"/>
        <w:ind w:firstLine="480"/>
        <w:rPr>
          <w:rFonts w:hint="eastAsia" w:ascii="宋体" w:hAnsi="宋体" w:cs="宋体"/>
          <w:color w:val="000000"/>
          <w:kern w:val="0"/>
          <w:sz w:val="24"/>
          <w:szCs w:val="24"/>
          <w:lang w:val="zh-CN"/>
        </w:rPr>
      </w:pPr>
      <w:r>
        <w:rPr>
          <w:rFonts w:hint="eastAsia" w:ascii="宋体" w:hAnsi="宋体" w:cs="宋体"/>
          <w:color w:val="000000"/>
          <w:kern w:val="0"/>
          <w:sz w:val="24"/>
          <w:szCs w:val="24"/>
        </w:rPr>
        <w:t>9</w:t>
      </w:r>
      <w:r>
        <w:rPr>
          <w:rFonts w:hint="eastAsia" w:ascii="宋体" w:hAnsi="宋体" w:cs="宋体"/>
          <w:color w:val="000000"/>
          <w:kern w:val="0"/>
          <w:sz w:val="24"/>
          <w:szCs w:val="24"/>
          <w:lang w:val="zh-CN"/>
        </w:rPr>
        <w:t>.</w:t>
      </w:r>
      <w:r>
        <w:rPr>
          <w:rFonts w:hint="eastAsia" w:ascii="宋体" w:hAnsi="宋体" w:cs="宋体"/>
          <w:color w:val="000000"/>
          <w:kern w:val="0"/>
          <w:sz w:val="24"/>
          <w:szCs w:val="24"/>
        </w:rPr>
        <w:t>2</w:t>
      </w:r>
      <w:r>
        <w:rPr>
          <w:rFonts w:hint="eastAsia" w:ascii="宋体" w:hAnsi="宋体" w:cs="宋体"/>
          <w:color w:val="000000"/>
          <w:kern w:val="0"/>
          <w:sz w:val="24"/>
          <w:szCs w:val="24"/>
          <w:lang w:val="zh-CN"/>
        </w:rPr>
        <w:t xml:space="preserve"> </w:t>
      </w:r>
      <w:r>
        <w:rPr>
          <w:rFonts w:hint="eastAsia" w:ascii="宋体" w:hAnsi="宋体" w:cs="宋体"/>
          <w:color w:val="000000"/>
          <w:kern w:val="0"/>
          <w:sz w:val="24"/>
          <w:szCs w:val="24"/>
        </w:rPr>
        <w:t>按</w:t>
      </w:r>
      <w:r>
        <w:rPr>
          <w:rFonts w:hint="eastAsia" w:ascii="宋体" w:hAnsi="宋体" w:cs="宋体"/>
          <w:color w:val="000000"/>
          <w:kern w:val="0"/>
          <w:sz w:val="24"/>
          <w:szCs w:val="24"/>
          <w:lang w:val="zh-CN"/>
        </w:rPr>
        <w:t>第二章《投标人须知》要求提交的投标保证金。</w:t>
      </w:r>
    </w:p>
    <w:p w14:paraId="26441BC2">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rPr>
        <w:t>10</w:t>
      </w:r>
      <w:r>
        <w:rPr>
          <w:rFonts w:hint="eastAsia" w:ascii="宋体" w:hAnsi="宋体" w:cs="宋体"/>
          <w:b/>
          <w:color w:val="000000"/>
          <w:sz w:val="24"/>
          <w:szCs w:val="24"/>
          <w:lang w:val="zh-CN"/>
        </w:rPr>
        <w:t>. 投标文件的编制</w:t>
      </w:r>
    </w:p>
    <w:p w14:paraId="1DE9B82C">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rPr>
        <w:t>10</w:t>
      </w:r>
      <w:r>
        <w:rPr>
          <w:rFonts w:hint="eastAsia" w:ascii="宋体" w:hAnsi="宋体" w:cs="宋体"/>
          <w:color w:val="000000"/>
          <w:sz w:val="24"/>
          <w:szCs w:val="24"/>
          <w:lang w:val="zh-CN"/>
        </w:rPr>
        <w:t xml:space="preserve">.1 投标语言：投标文件以及投标人与采购人就有关投标的来往函电均使用中文。 </w:t>
      </w:r>
    </w:p>
    <w:p w14:paraId="2A4B2988">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rPr>
        <w:t>10</w:t>
      </w:r>
      <w:r>
        <w:rPr>
          <w:rFonts w:hint="eastAsia" w:ascii="宋体" w:hAnsi="宋体" w:cs="宋体"/>
          <w:color w:val="000000"/>
          <w:sz w:val="24"/>
          <w:szCs w:val="24"/>
          <w:lang w:val="zh-CN"/>
        </w:rPr>
        <w:t>.2 计量单位：中华人民共和国法定计量单位。</w:t>
      </w:r>
    </w:p>
    <w:p w14:paraId="20850D11">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rPr>
        <w:t>10</w:t>
      </w:r>
      <w:r>
        <w:rPr>
          <w:rFonts w:hint="eastAsia" w:ascii="宋体" w:hAnsi="宋体" w:cs="宋体"/>
          <w:color w:val="000000"/>
          <w:sz w:val="24"/>
          <w:szCs w:val="24"/>
          <w:lang w:val="zh-CN"/>
        </w:rPr>
        <w:t xml:space="preserve">.3 投标文件的编写（采用电子招标的，以政采云平台以及采购文件要求为准） </w:t>
      </w:r>
    </w:p>
    <w:p w14:paraId="2B5303AB">
      <w:pPr>
        <w:autoSpaceDE w:val="0"/>
        <w:autoSpaceDN w:val="0"/>
        <w:adjustRightInd w:val="0"/>
        <w:spacing w:line="360" w:lineRule="auto"/>
        <w:ind w:firstLine="1024" w:firstLineChars="427"/>
        <w:rPr>
          <w:rFonts w:hint="eastAsia" w:ascii="宋体" w:hAnsi="宋体" w:cs="宋体"/>
          <w:color w:val="000000"/>
          <w:sz w:val="24"/>
          <w:szCs w:val="24"/>
          <w:lang w:val="zh-CN"/>
        </w:rPr>
      </w:pPr>
      <w:r>
        <w:rPr>
          <w:rFonts w:hint="eastAsia" w:ascii="宋体" w:hAnsi="宋体" w:cs="宋体"/>
          <w:color w:val="000000"/>
          <w:sz w:val="24"/>
          <w:szCs w:val="24"/>
        </w:rPr>
        <w:t>10.3.</w:t>
      </w:r>
      <w:r>
        <w:rPr>
          <w:rFonts w:hint="eastAsia" w:ascii="宋体" w:hAnsi="宋体" w:cs="宋体"/>
          <w:color w:val="000000"/>
          <w:sz w:val="24"/>
          <w:szCs w:val="24"/>
          <w:lang w:val="zh-CN"/>
        </w:rPr>
        <w:t xml:space="preserve">1.供应商应按照招标文件提供的投标文件格式编制电子投标文件。供应商投报多个采购包的，供应商应当按采购包分别编制独立的投标文件，并按采购包分别提交（上传）投标文件。 </w:t>
      </w:r>
    </w:p>
    <w:p w14:paraId="2AC07D55">
      <w:pPr>
        <w:autoSpaceDE w:val="0"/>
        <w:autoSpaceDN w:val="0"/>
        <w:adjustRightInd w:val="0"/>
        <w:spacing w:line="360" w:lineRule="auto"/>
        <w:ind w:firstLine="1024" w:firstLineChars="427"/>
        <w:rPr>
          <w:rFonts w:hint="eastAsia" w:ascii="宋体" w:hAnsi="宋体" w:cs="宋体"/>
          <w:color w:val="000000"/>
          <w:sz w:val="24"/>
          <w:szCs w:val="24"/>
          <w:lang w:val="zh-CN"/>
        </w:rPr>
      </w:pPr>
      <w:r>
        <w:rPr>
          <w:rFonts w:hint="eastAsia" w:ascii="宋体" w:hAnsi="宋体" w:cs="宋体"/>
          <w:color w:val="000000"/>
          <w:sz w:val="24"/>
          <w:szCs w:val="24"/>
        </w:rPr>
        <w:t>10.3.</w:t>
      </w:r>
      <w:r>
        <w:rPr>
          <w:rFonts w:hint="eastAsia" w:ascii="宋体" w:hAnsi="宋体" w:cs="宋体"/>
          <w:color w:val="000000"/>
          <w:sz w:val="24"/>
          <w:szCs w:val="24"/>
          <w:lang w:val="zh-CN"/>
        </w:rPr>
        <w:t xml:space="preserve">2.投标人必须对投标文件所提供的全部资料的真实性承担法律责任。 </w:t>
      </w:r>
    </w:p>
    <w:p w14:paraId="3594E0EC">
      <w:pPr>
        <w:autoSpaceDE w:val="0"/>
        <w:autoSpaceDN w:val="0"/>
        <w:adjustRightInd w:val="0"/>
        <w:spacing w:line="360" w:lineRule="auto"/>
        <w:ind w:firstLine="1024" w:firstLineChars="427"/>
        <w:rPr>
          <w:rFonts w:hint="eastAsia" w:ascii="宋体" w:hAnsi="宋体" w:cs="宋体"/>
          <w:color w:val="000000"/>
          <w:sz w:val="24"/>
          <w:szCs w:val="24"/>
          <w:lang w:val="zh-CN"/>
        </w:rPr>
      </w:pPr>
      <w:r>
        <w:rPr>
          <w:rFonts w:hint="eastAsia" w:ascii="宋体" w:hAnsi="宋体" w:cs="宋体"/>
          <w:color w:val="000000"/>
          <w:sz w:val="24"/>
          <w:szCs w:val="24"/>
        </w:rPr>
        <w:t>10.3.</w:t>
      </w:r>
      <w:r>
        <w:rPr>
          <w:rFonts w:hint="eastAsia" w:ascii="宋体" w:hAnsi="宋体" w:cs="宋体"/>
          <w:color w:val="000000"/>
          <w:sz w:val="24"/>
          <w:szCs w:val="24"/>
          <w:lang w:val="zh-CN"/>
        </w:rPr>
        <w:t>3.投标人应认真阅读招标文件中所有的事项、格式、条款和技术要求等，并按照招标文件的要求编制投标文件。若投标人不按照招标文件要求编制投标文件，由此产生的风险由投标人自己承担。</w:t>
      </w:r>
    </w:p>
    <w:p w14:paraId="2B859CAC">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1</w:t>
      </w:r>
      <w:r>
        <w:rPr>
          <w:rFonts w:hint="eastAsia" w:ascii="宋体" w:hAnsi="宋体" w:cs="宋体"/>
          <w:b/>
          <w:color w:val="000000"/>
          <w:sz w:val="24"/>
          <w:szCs w:val="24"/>
          <w:lang w:val="zh-CN"/>
        </w:rPr>
        <w:t>. 投标报价</w:t>
      </w:r>
    </w:p>
    <w:p w14:paraId="3FD82B48">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1</w:t>
      </w:r>
      <w:r>
        <w:rPr>
          <w:rFonts w:hint="eastAsia" w:ascii="宋体" w:hAnsi="宋体" w:cs="宋体"/>
          <w:color w:val="000000"/>
          <w:sz w:val="24"/>
          <w:szCs w:val="24"/>
        </w:rPr>
        <w:t>1</w:t>
      </w:r>
      <w:r>
        <w:rPr>
          <w:rFonts w:hint="eastAsia" w:ascii="宋体" w:hAnsi="宋体" w:cs="宋体"/>
          <w:color w:val="000000"/>
          <w:sz w:val="24"/>
          <w:szCs w:val="24"/>
          <w:lang w:val="zh-CN"/>
        </w:rPr>
        <w:t>.1投标人的投标报价应在控制范围内，超出此范围的投标报价为废标。投标货币：所有投标报价均以人民币元为计算单位。</w:t>
      </w:r>
    </w:p>
    <w:p w14:paraId="630136DB">
      <w:pPr>
        <w:autoSpaceDE w:val="0"/>
        <w:autoSpaceDN w:val="0"/>
        <w:adjustRightInd w:val="0"/>
        <w:spacing w:line="360" w:lineRule="auto"/>
        <w:ind w:firstLine="482"/>
        <w:rPr>
          <w:rFonts w:hint="eastAsia" w:ascii="宋体" w:hAnsi="宋体" w:cs="宋体"/>
          <w:color w:val="000000"/>
          <w:sz w:val="24"/>
          <w:szCs w:val="24"/>
          <w:lang w:val="zh-CN"/>
        </w:rPr>
      </w:pPr>
      <w:r>
        <w:rPr>
          <w:rFonts w:hint="eastAsia" w:ascii="宋体" w:hAnsi="宋体" w:cs="宋体"/>
          <w:color w:val="000000"/>
          <w:sz w:val="24"/>
          <w:szCs w:val="24"/>
          <w:lang w:val="zh-CN"/>
        </w:rPr>
        <w:t>1</w:t>
      </w:r>
      <w:r>
        <w:rPr>
          <w:rFonts w:hint="eastAsia" w:ascii="宋体" w:hAnsi="宋体" w:cs="宋体"/>
          <w:color w:val="000000"/>
          <w:sz w:val="24"/>
          <w:szCs w:val="24"/>
        </w:rPr>
        <w:t>1</w:t>
      </w:r>
      <w:r>
        <w:rPr>
          <w:rFonts w:hint="eastAsia" w:ascii="宋体" w:hAnsi="宋体" w:cs="宋体"/>
          <w:color w:val="000000"/>
          <w:sz w:val="24"/>
          <w:szCs w:val="24"/>
          <w:lang w:val="zh-CN"/>
        </w:rPr>
        <w:t>.2投标人应一次性报出投标货物的单价和总价，每种货物只允许有一个报价，任何有选择的报价将不予接受。投标人所报价格应为在本招标文件中标合同指定地点供货、由投标人负责安装调试，经采购人验收合格后按合同规定支付货款。</w:t>
      </w:r>
    </w:p>
    <w:p w14:paraId="40A25742">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1</w:t>
      </w:r>
      <w:r>
        <w:rPr>
          <w:rFonts w:hint="eastAsia" w:ascii="宋体" w:hAnsi="宋体" w:cs="宋体"/>
          <w:color w:val="000000"/>
          <w:sz w:val="24"/>
          <w:szCs w:val="24"/>
        </w:rPr>
        <w:t>1</w:t>
      </w:r>
      <w:r>
        <w:rPr>
          <w:rFonts w:hint="eastAsia" w:ascii="宋体" w:hAnsi="宋体" w:cs="宋体"/>
          <w:color w:val="000000"/>
          <w:sz w:val="24"/>
          <w:szCs w:val="24"/>
          <w:lang w:val="zh-CN"/>
        </w:rPr>
        <w:t>.3投标人所报的价格在合同执行过程中是固定不变的，不得以任何理由予以变更。以可调整的价格提交的投标将作为非响应性投标予以拒绝。</w:t>
      </w:r>
    </w:p>
    <w:p w14:paraId="2EFA67CD">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1</w:t>
      </w:r>
      <w:r>
        <w:rPr>
          <w:rFonts w:hint="eastAsia" w:ascii="宋体" w:hAnsi="宋体" w:cs="宋体"/>
          <w:color w:val="000000"/>
          <w:sz w:val="24"/>
          <w:szCs w:val="24"/>
        </w:rPr>
        <w:t>1</w:t>
      </w:r>
      <w:r>
        <w:rPr>
          <w:rFonts w:hint="eastAsia" w:ascii="宋体" w:hAnsi="宋体" w:cs="宋体"/>
          <w:color w:val="000000"/>
          <w:sz w:val="24"/>
          <w:szCs w:val="24"/>
          <w:lang w:val="zh-CN"/>
        </w:rPr>
        <w:t>.4 最低报价不能作为中标的保证。</w:t>
      </w:r>
    </w:p>
    <w:p w14:paraId="576D01BB">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2</w:t>
      </w:r>
      <w:r>
        <w:rPr>
          <w:rFonts w:hint="eastAsia" w:ascii="宋体" w:hAnsi="宋体" w:cs="宋体"/>
          <w:b/>
          <w:color w:val="000000"/>
          <w:sz w:val="24"/>
          <w:szCs w:val="24"/>
          <w:lang w:val="zh-CN"/>
        </w:rPr>
        <w:t>. 投标保证金</w:t>
      </w:r>
    </w:p>
    <w:p w14:paraId="0BE8501C">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1</w:t>
      </w:r>
      <w:r>
        <w:rPr>
          <w:rFonts w:hint="eastAsia" w:ascii="宋体" w:hAnsi="宋体" w:cs="宋体"/>
          <w:color w:val="000000"/>
          <w:sz w:val="24"/>
          <w:szCs w:val="24"/>
        </w:rPr>
        <w:t>2</w:t>
      </w:r>
      <w:r>
        <w:rPr>
          <w:rFonts w:hint="eastAsia" w:ascii="宋体" w:hAnsi="宋体" w:cs="宋体"/>
          <w:color w:val="000000"/>
          <w:sz w:val="24"/>
          <w:szCs w:val="24"/>
          <w:lang w:val="zh-CN"/>
        </w:rPr>
        <w:t>.1投标人应</w:t>
      </w:r>
      <w:r>
        <w:rPr>
          <w:rFonts w:hint="eastAsia" w:ascii="宋体" w:hAnsi="宋体" w:cs="宋体"/>
          <w:color w:val="000000"/>
          <w:sz w:val="24"/>
          <w:szCs w:val="24"/>
        </w:rPr>
        <w:t>按</w:t>
      </w:r>
      <w:r>
        <w:rPr>
          <w:rFonts w:hint="eastAsia" w:ascii="宋体" w:hAnsi="宋体" w:cs="宋体"/>
          <w:color w:val="000000"/>
          <w:sz w:val="24"/>
          <w:szCs w:val="24"/>
          <w:lang w:val="zh-CN"/>
        </w:rPr>
        <w:t>招标文件所要求的</w:t>
      </w:r>
      <w:r>
        <w:rPr>
          <w:rFonts w:hint="eastAsia" w:ascii="宋体" w:hAnsi="宋体" w:cs="宋体"/>
          <w:color w:val="000000"/>
          <w:sz w:val="24"/>
          <w:szCs w:val="24"/>
        </w:rPr>
        <w:t>提交</w:t>
      </w:r>
      <w:r>
        <w:rPr>
          <w:rFonts w:hint="eastAsia" w:ascii="宋体" w:hAnsi="宋体" w:cs="宋体"/>
          <w:color w:val="000000"/>
          <w:sz w:val="24"/>
          <w:szCs w:val="24"/>
          <w:lang w:val="zh-CN"/>
        </w:rPr>
        <w:t>投标保证金。投标人须按照招标文件要求，在</w:t>
      </w:r>
      <w:r>
        <w:rPr>
          <w:rFonts w:hint="eastAsia" w:ascii="宋体" w:hAnsi="宋体" w:cs="宋体"/>
          <w:color w:val="000000"/>
          <w:sz w:val="24"/>
          <w:szCs w:val="24"/>
        </w:rPr>
        <w:t>投标截止时间前</w:t>
      </w:r>
      <w:r>
        <w:rPr>
          <w:rFonts w:hint="eastAsia" w:ascii="宋体" w:hAnsi="宋体" w:cs="宋体"/>
          <w:color w:val="000000"/>
          <w:sz w:val="24"/>
          <w:szCs w:val="24"/>
          <w:lang w:val="zh-CN"/>
        </w:rPr>
        <w:t>递交至采购代理机构。</w:t>
      </w:r>
    </w:p>
    <w:p w14:paraId="6A55E83C">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1</w:t>
      </w:r>
      <w:r>
        <w:rPr>
          <w:rFonts w:hint="eastAsia" w:ascii="宋体" w:hAnsi="宋体" w:cs="宋体"/>
          <w:color w:val="000000"/>
          <w:sz w:val="24"/>
          <w:szCs w:val="24"/>
        </w:rPr>
        <w:t>2</w:t>
      </w:r>
      <w:r>
        <w:rPr>
          <w:rFonts w:hint="eastAsia" w:ascii="宋体" w:hAnsi="宋体" w:cs="宋体"/>
          <w:color w:val="000000"/>
          <w:sz w:val="24"/>
          <w:szCs w:val="24"/>
          <w:lang w:val="zh-CN"/>
        </w:rPr>
        <w:t>.2投标保证金是为了弥补采购人因投标人的违规行为而蒙受的损失。采购人在因投标人的违规行为而受到损害时，将不予退还投标人的投标保证金，并作为所受损害的补偿。</w:t>
      </w:r>
    </w:p>
    <w:p w14:paraId="7CBB2A1F">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1</w:t>
      </w:r>
      <w:r>
        <w:rPr>
          <w:rFonts w:hint="eastAsia" w:ascii="宋体" w:hAnsi="宋体" w:cs="宋体"/>
          <w:color w:val="000000"/>
          <w:sz w:val="24"/>
          <w:szCs w:val="24"/>
        </w:rPr>
        <w:t>2</w:t>
      </w:r>
      <w:r>
        <w:rPr>
          <w:rFonts w:hint="eastAsia" w:ascii="宋体" w:hAnsi="宋体" w:cs="宋体"/>
          <w:color w:val="000000"/>
          <w:sz w:val="24"/>
          <w:szCs w:val="24"/>
          <w:lang w:val="zh-CN"/>
        </w:rPr>
        <w:t>.3投标保证金是投标文件的一个组成部分。在开标时，凡没有按规定提交投标保证金的投标，将被视为非响应性投标予以拒绝。</w:t>
      </w:r>
    </w:p>
    <w:p w14:paraId="334BEFC8">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1</w:t>
      </w:r>
      <w:r>
        <w:rPr>
          <w:rFonts w:hint="eastAsia" w:ascii="宋体" w:hAnsi="宋体" w:cs="宋体"/>
          <w:color w:val="000000"/>
          <w:sz w:val="24"/>
          <w:szCs w:val="24"/>
        </w:rPr>
        <w:t>2</w:t>
      </w:r>
      <w:r>
        <w:rPr>
          <w:rFonts w:hint="eastAsia" w:ascii="宋体" w:hAnsi="宋体" w:cs="宋体"/>
          <w:color w:val="000000"/>
          <w:sz w:val="24"/>
          <w:szCs w:val="24"/>
          <w:lang w:val="zh-CN"/>
        </w:rPr>
        <w:t>.4</w:t>
      </w:r>
      <w:r>
        <w:rPr>
          <w:rFonts w:hint="eastAsia" w:ascii="宋体" w:hAnsi="宋体" w:cs="宋体"/>
          <w:color w:val="000000"/>
          <w:sz w:val="24"/>
          <w:szCs w:val="24"/>
        </w:rPr>
        <w:t>采购人或者采购代理机构应当在采购活动结束后及时退还供应商的保证金，但因供应商自身原因导致无法及时退还的除外。未中标供应商的保证金应当在中标通知书发出后5个工作日内退还，中标供应商的保证金应当在采购合同签订后5个工作日内退还，不计利息。</w:t>
      </w:r>
    </w:p>
    <w:p w14:paraId="033AA3B3">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1</w:t>
      </w:r>
      <w:r>
        <w:rPr>
          <w:rFonts w:hint="eastAsia" w:ascii="宋体" w:hAnsi="宋体" w:cs="宋体"/>
          <w:color w:val="000000"/>
          <w:sz w:val="24"/>
          <w:szCs w:val="24"/>
        </w:rPr>
        <w:t>2</w:t>
      </w:r>
      <w:r>
        <w:rPr>
          <w:rFonts w:hint="eastAsia" w:ascii="宋体" w:hAnsi="宋体" w:cs="宋体"/>
          <w:color w:val="000000"/>
          <w:sz w:val="24"/>
          <w:szCs w:val="24"/>
          <w:lang w:val="zh-CN"/>
        </w:rPr>
        <w:t>.5 下列情况之一发生时，投标保证金将不予退还：</w:t>
      </w:r>
    </w:p>
    <w:p w14:paraId="7BA6CDE9">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（1）投标人在招标文件规定的投标有效期内撤回其投标；</w:t>
      </w:r>
    </w:p>
    <w:p w14:paraId="49365337">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（2）中标人未按规定时间、地点与采购人签订合同的；</w:t>
      </w:r>
    </w:p>
    <w:p w14:paraId="44234138">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w:t>
      </w:r>
      <w:r>
        <w:rPr>
          <w:rFonts w:hint="eastAsia" w:ascii="宋体" w:hAnsi="宋体" w:cs="宋体"/>
          <w:color w:val="000000"/>
          <w:sz w:val="24"/>
          <w:szCs w:val="24"/>
        </w:rPr>
        <w:t>3</w:t>
      </w:r>
      <w:r>
        <w:rPr>
          <w:rFonts w:hint="eastAsia" w:ascii="宋体" w:hAnsi="宋体" w:cs="宋体"/>
          <w:color w:val="000000"/>
          <w:sz w:val="24"/>
          <w:szCs w:val="24"/>
          <w:lang w:val="zh-CN"/>
        </w:rPr>
        <w:t>）中标人在收到</w:t>
      </w:r>
      <w:r>
        <w:rPr>
          <w:rFonts w:hint="eastAsia" w:ascii="宋体" w:hAnsi="宋体" w:cs="宋体"/>
          <w:color w:val="000000"/>
          <w:sz w:val="24"/>
          <w:szCs w:val="24"/>
        </w:rPr>
        <w:t>中标</w:t>
      </w:r>
      <w:r>
        <w:rPr>
          <w:rFonts w:hint="eastAsia" w:ascii="宋体" w:hAnsi="宋体" w:cs="宋体"/>
          <w:color w:val="000000"/>
          <w:sz w:val="24"/>
          <w:szCs w:val="24"/>
          <w:lang w:val="zh-CN"/>
        </w:rPr>
        <w:t>通知书后，无正当理由拒签合同协议书或未</w:t>
      </w:r>
      <w:r>
        <w:rPr>
          <w:rFonts w:hint="eastAsia" w:ascii="宋体" w:hAnsi="宋体" w:cs="宋体"/>
          <w:color w:val="000000"/>
          <w:sz w:val="24"/>
          <w:szCs w:val="24"/>
        </w:rPr>
        <w:t>招标</w:t>
      </w:r>
      <w:r>
        <w:rPr>
          <w:rFonts w:hint="eastAsia" w:ascii="宋体" w:hAnsi="宋体" w:cs="宋体"/>
          <w:color w:val="000000"/>
          <w:sz w:val="24"/>
          <w:szCs w:val="24"/>
          <w:lang w:val="zh-CN"/>
        </w:rPr>
        <w:t>文件规定提交履约担保。</w:t>
      </w:r>
    </w:p>
    <w:p w14:paraId="1789CBD3">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w:t>
      </w:r>
      <w:r>
        <w:rPr>
          <w:rFonts w:hint="eastAsia" w:ascii="宋体" w:hAnsi="宋体" w:cs="宋体"/>
          <w:color w:val="000000"/>
          <w:sz w:val="24"/>
          <w:szCs w:val="24"/>
        </w:rPr>
        <w:t>4</w:t>
      </w:r>
      <w:r>
        <w:rPr>
          <w:rFonts w:hint="eastAsia" w:ascii="宋体" w:hAnsi="宋体" w:cs="宋体"/>
          <w:color w:val="000000"/>
          <w:sz w:val="24"/>
          <w:szCs w:val="24"/>
          <w:lang w:val="zh-CN"/>
        </w:rPr>
        <w:t xml:space="preserve">）投标人存在严重违法行为：如提供虚假材料谋取中标，恶意串通，以及行贿或者提供其他不正当利益等； </w:t>
      </w:r>
    </w:p>
    <w:p w14:paraId="1C5D2643">
      <w:pPr>
        <w:autoSpaceDE w:val="0"/>
        <w:autoSpaceDN w:val="0"/>
        <w:adjustRightInd w:val="0"/>
        <w:spacing w:line="360" w:lineRule="auto"/>
        <w:ind w:firstLine="480"/>
        <w:rPr>
          <w:rFonts w:hint="eastAsia" w:ascii="宋体" w:hAnsi="宋体" w:cs="宋体"/>
          <w:b/>
          <w:color w:val="000000"/>
          <w:sz w:val="24"/>
          <w:szCs w:val="24"/>
          <w:lang w:val="zh-CN"/>
        </w:rPr>
      </w:pPr>
      <w:r>
        <w:rPr>
          <w:rFonts w:hint="eastAsia" w:ascii="宋体" w:hAnsi="宋体" w:cs="宋体"/>
          <w:color w:val="000000"/>
          <w:sz w:val="24"/>
          <w:szCs w:val="24"/>
          <w:lang w:val="zh-CN"/>
        </w:rPr>
        <w:t>（</w:t>
      </w:r>
      <w:r>
        <w:rPr>
          <w:rFonts w:hint="eastAsia" w:ascii="宋体" w:hAnsi="宋体" w:cs="宋体"/>
          <w:color w:val="000000"/>
          <w:sz w:val="24"/>
          <w:szCs w:val="24"/>
        </w:rPr>
        <w:t>5</w:t>
      </w:r>
      <w:r>
        <w:rPr>
          <w:rFonts w:hint="eastAsia" w:ascii="宋体" w:hAnsi="宋体" w:cs="宋体"/>
          <w:color w:val="000000"/>
          <w:sz w:val="24"/>
          <w:szCs w:val="24"/>
          <w:lang w:val="zh-CN"/>
        </w:rPr>
        <w:t>）招标文件规定不予退还投标保证金的其他情形。</w:t>
      </w:r>
    </w:p>
    <w:p w14:paraId="3C918C31">
      <w:pPr>
        <w:autoSpaceDE w:val="0"/>
        <w:autoSpaceDN w:val="0"/>
        <w:adjustRightInd w:val="0"/>
        <w:spacing w:line="360" w:lineRule="auto"/>
        <w:ind w:firstLine="482"/>
        <w:jc w:val="left"/>
        <w:rPr>
          <w:rFonts w:hint="eastAsia" w:ascii="宋体" w:hAnsi="宋体" w:cs="宋体"/>
          <w:b/>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3</w:t>
      </w:r>
      <w:r>
        <w:rPr>
          <w:rFonts w:hint="eastAsia" w:ascii="宋体" w:hAnsi="宋体" w:cs="宋体"/>
          <w:b/>
          <w:color w:val="000000"/>
          <w:sz w:val="24"/>
          <w:szCs w:val="24"/>
          <w:lang w:val="zh-CN"/>
        </w:rPr>
        <w:t>. 投标有效期：</w:t>
      </w:r>
    </w:p>
    <w:p w14:paraId="36BC01F4">
      <w:pPr>
        <w:autoSpaceDE w:val="0"/>
        <w:autoSpaceDN w:val="0"/>
        <w:adjustRightInd w:val="0"/>
        <w:spacing w:line="360" w:lineRule="auto"/>
        <w:ind w:firstLine="480"/>
        <w:jc w:val="left"/>
        <w:rPr>
          <w:rFonts w:hint="eastAsia" w:ascii="宋体" w:hAnsi="宋体" w:cs="宋体"/>
          <w:color w:val="000000"/>
          <w:sz w:val="24"/>
          <w:szCs w:val="24"/>
          <w:lang w:val="zh-CN"/>
        </w:rPr>
      </w:pPr>
      <w:r>
        <w:rPr>
          <w:rFonts w:hint="eastAsia" w:ascii="宋体" w:hAnsi="宋体" w:cs="宋体"/>
          <w:color w:val="000000"/>
          <w:sz w:val="24"/>
          <w:szCs w:val="24"/>
          <w:lang w:val="zh-CN"/>
        </w:rPr>
        <w:t>1</w:t>
      </w:r>
      <w:r>
        <w:rPr>
          <w:rFonts w:hint="eastAsia" w:ascii="宋体" w:hAnsi="宋体" w:cs="宋体"/>
          <w:color w:val="000000"/>
          <w:sz w:val="24"/>
          <w:szCs w:val="24"/>
        </w:rPr>
        <w:t>3</w:t>
      </w:r>
      <w:r>
        <w:rPr>
          <w:rFonts w:hint="eastAsia" w:ascii="宋体" w:hAnsi="宋体" w:cs="宋体"/>
          <w:color w:val="000000"/>
          <w:sz w:val="24"/>
          <w:szCs w:val="24"/>
          <w:lang w:val="zh-CN"/>
        </w:rPr>
        <w:t>.1投标有效期为自开标之日起90天。投标文件在这个规定期限内应保持有效。</w:t>
      </w:r>
    </w:p>
    <w:p w14:paraId="65A3B26C">
      <w:pPr>
        <w:autoSpaceDE w:val="0"/>
        <w:autoSpaceDN w:val="0"/>
        <w:adjustRightInd w:val="0"/>
        <w:spacing w:line="360" w:lineRule="auto"/>
        <w:ind w:firstLine="480"/>
        <w:jc w:val="left"/>
        <w:rPr>
          <w:rFonts w:hint="eastAsia" w:ascii="宋体" w:hAnsi="宋体" w:cs="宋体"/>
          <w:color w:val="000000"/>
          <w:sz w:val="24"/>
          <w:szCs w:val="24"/>
          <w:lang w:val="zh-CN"/>
        </w:rPr>
      </w:pPr>
      <w:r>
        <w:rPr>
          <w:rFonts w:hint="eastAsia" w:ascii="宋体" w:hAnsi="宋体" w:cs="宋体"/>
          <w:color w:val="000000"/>
          <w:sz w:val="24"/>
          <w:szCs w:val="24"/>
          <w:lang w:val="zh-CN"/>
        </w:rPr>
        <w:t>1</w:t>
      </w:r>
      <w:r>
        <w:rPr>
          <w:rFonts w:hint="eastAsia" w:ascii="宋体" w:hAnsi="宋体" w:cs="宋体"/>
          <w:color w:val="000000"/>
          <w:sz w:val="24"/>
          <w:szCs w:val="24"/>
        </w:rPr>
        <w:t>3</w:t>
      </w:r>
      <w:r>
        <w:rPr>
          <w:rFonts w:hint="eastAsia" w:ascii="宋体" w:hAnsi="宋体" w:cs="宋体"/>
          <w:color w:val="000000"/>
          <w:sz w:val="24"/>
          <w:szCs w:val="24"/>
          <w:lang w:val="zh-CN"/>
        </w:rPr>
        <w:t>.2在特殊情况下，经采购人同意，采购代理机构可与投标人协商延长投标有效期。这种要求和答复都应以书面形式进行。投标人可以拒绝接受延期要求而不会被没收投标保证金。同意延长投标有效期的投标人除按照采购代理机构（经采购人同意）要求修改投标文件的有效期外，不能修改投标文件的其他内容。</w:t>
      </w:r>
    </w:p>
    <w:p w14:paraId="5400CFB2">
      <w:pPr>
        <w:autoSpaceDE w:val="0"/>
        <w:autoSpaceDN w:val="0"/>
        <w:adjustRightInd w:val="0"/>
        <w:spacing w:line="360" w:lineRule="auto"/>
        <w:ind w:firstLine="480"/>
        <w:jc w:val="left"/>
        <w:rPr>
          <w:rFonts w:hint="eastAsia" w:ascii="宋体" w:hAnsi="宋体" w:cs="宋体"/>
          <w:color w:val="000000"/>
          <w:sz w:val="24"/>
          <w:szCs w:val="24"/>
          <w:lang w:val="zh-CN"/>
        </w:rPr>
      </w:pPr>
      <w:r>
        <w:rPr>
          <w:rFonts w:hint="eastAsia" w:ascii="宋体" w:hAnsi="宋体" w:cs="宋体"/>
          <w:color w:val="000000"/>
          <w:sz w:val="24"/>
          <w:szCs w:val="24"/>
          <w:lang w:val="zh-CN"/>
        </w:rPr>
        <w:t>1</w:t>
      </w:r>
      <w:r>
        <w:rPr>
          <w:rFonts w:hint="eastAsia" w:ascii="宋体" w:hAnsi="宋体" w:cs="宋体"/>
          <w:color w:val="000000"/>
          <w:sz w:val="24"/>
          <w:szCs w:val="24"/>
        </w:rPr>
        <w:t>3</w:t>
      </w:r>
      <w:r>
        <w:rPr>
          <w:rFonts w:hint="eastAsia" w:ascii="宋体" w:hAnsi="宋体" w:cs="宋体"/>
          <w:color w:val="000000"/>
          <w:sz w:val="24"/>
          <w:szCs w:val="24"/>
          <w:lang w:val="zh-CN"/>
        </w:rPr>
        <w:t>.3中标人的投标文件有效期等同于合同履行期。</w:t>
      </w:r>
    </w:p>
    <w:p w14:paraId="3E2CC02C">
      <w:pPr>
        <w:autoSpaceDE w:val="0"/>
        <w:autoSpaceDN w:val="0"/>
        <w:adjustRightInd w:val="0"/>
        <w:spacing w:line="360" w:lineRule="auto"/>
        <w:ind w:firstLine="482"/>
        <w:jc w:val="left"/>
        <w:rPr>
          <w:rFonts w:hint="eastAsia" w:ascii="宋体" w:hAnsi="宋体" w:cs="宋体"/>
          <w:b/>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4</w:t>
      </w:r>
      <w:r>
        <w:rPr>
          <w:rFonts w:hint="eastAsia" w:ascii="宋体" w:hAnsi="宋体" w:cs="宋体"/>
          <w:b/>
          <w:color w:val="000000"/>
          <w:sz w:val="24"/>
          <w:szCs w:val="24"/>
          <w:lang w:val="zh-CN"/>
        </w:rPr>
        <w:t>. 投标文件的式样和签署</w:t>
      </w:r>
    </w:p>
    <w:p w14:paraId="55D53006">
      <w:pPr>
        <w:autoSpaceDE w:val="0"/>
        <w:autoSpaceDN w:val="0"/>
        <w:adjustRightInd w:val="0"/>
        <w:spacing w:line="360" w:lineRule="auto"/>
        <w:ind w:firstLine="480" w:firstLineChars="200"/>
        <w:jc w:val="left"/>
        <w:rPr>
          <w:rFonts w:hint="eastAsia" w:ascii="宋体" w:hAnsi="宋体" w:cs="宋体"/>
          <w:color w:val="000000"/>
          <w:sz w:val="24"/>
          <w:szCs w:val="24"/>
          <w:lang w:val="zh-CN"/>
        </w:rPr>
      </w:pPr>
      <w:r>
        <w:rPr>
          <w:rFonts w:hint="eastAsia" w:ascii="宋体" w:hAnsi="宋体" w:cs="宋体"/>
          <w:color w:val="000000"/>
          <w:sz w:val="24"/>
          <w:szCs w:val="24"/>
        </w:rPr>
        <w:t>14.</w:t>
      </w:r>
      <w:r>
        <w:rPr>
          <w:rFonts w:hint="eastAsia" w:ascii="宋体" w:hAnsi="宋体" w:cs="宋体"/>
          <w:color w:val="000000"/>
          <w:sz w:val="24"/>
          <w:szCs w:val="24"/>
          <w:lang w:val="zh-CN"/>
        </w:rPr>
        <w:t xml:space="preserve">1.供应商在政采云电子投标客户端下载并安装“政采云投标客户端”，供应商可在“政采云投标客户端”制作电子投标文件，供应商应当按照招标文件要求加盖单位签章（企业数字证书）和法定代表人电子签章（法人数字证书，电子法人名章或电子法人签字章均可）。联合体参加采购活动的，电子投标文件应当由联合体各成员共同签章。电子投标文件签章完成后，生成正式投标文件并加密。经数字证书加密的投标文件必须在提交电子投标文件截止时间前完成上传，加密和解密必须使用同一企业数字证书。具体操作方法见“政府采购项目电子交易管理操作指南-供应商”。 </w:t>
      </w:r>
    </w:p>
    <w:p w14:paraId="6EA0406D">
      <w:pPr>
        <w:autoSpaceDE w:val="0"/>
        <w:autoSpaceDN w:val="0"/>
        <w:adjustRightInd w:val="0"/>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rPr>
        <w:t>14.</w:t>
      </w:r>
      <w:r>
        <w:rPr>
          <w:rFonts w:hint="eastAsia" w:ascii="宋体" w:hAnsi="宋体" w:cs="宋体"/>
          <w:color w:val="000000"/>
          <w:sz w:val="24"/>
          <w:szCs w:val="24"/>
          <w:lang w:val="zh-CN"/>
        </w:rPr>
        <w:t xml:space="preserve">2.提交电子投标文件截止时间前出现下列情形的，供应商必须对投标文件重新电子签章和生成投标文件，并在提交电子投标文件截止时间前上传至系统，否则无法完成解密： </w:t>
      </w:r>
    </w:p>
    <w:p w14:paraId="14D4852B">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 xml:space="preserve">（1）数字证书到期后重新续期； </w:t>
      </w:r>
    </w:p>
    <w:p w14:paraId="380587EE">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 xml:space="preserve">（2）数字证书因遗失、损坏、企业信息变更等情况更换新证书。 </w:t>
      </w:r>
    </w:p>
    <w:p w14:paraId="473C8FF9">
      <w:pPr>
        <w:autoSpaceDE w:val="0"/>
        <w:autoSpaceDN w:val="0"/>
        <w:adjustRightInd w:val="0"/>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 xml:space="preserve">供应商由于数字证书遗失、损坏、更换、续期等情况导致投标文件无法解密，由供应商自行承 </w:t>
      </w:r>
    </w:p>
    <w:p w14:paraId="796C2D7A">
      <w:pPr>
        <w:autoSpaceDE w:val="0"/>
        <w:autoSpaceDN w:val="0"/>
        <w:adjustRightInd w:val="0"/>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担责任。</w:t>
      </w:r>
    </w:p>
    <w:p w14:paraId="4619A259">
      <w:pPr>
        <w:numPr>
          <w:ilvl w:val="0"/>
          <w:numId w:val="1"/>
        </w:num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lang w:val="zh-CN"/>
        </w:rPr>
        <w:t>投标文件的修改和撤回</w:t>
      </w:r>
    </w:p>
    <w:p w14:paraId="60760214">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rPr>
        <w:t xml:space="preserve">15.1.投标人在投标截止时间前，可以对所递交的投标文件进行补充、修改或者撤回。补充、修改的内容应当按招标文件要求签署、盖章后，并作为投标文件的组成部分。在投标截止时间之后，投标人不得对其投标文件做任何修改和补充。 </w:t>
      </w:r>
    </w:p>
    <w:p w14:paraId="2A3A99A0">
      <w:pPr>
        <w:autoSpaceDE w:val="0"/>
        <w:autoSpaceDN w:val="0"/>
        <w:adjustRightInd w:val="0"/>
        <w:spacing w:line="360" w:lineRule="auto"/>
        <w:ind w:firstLine="480"/>
        <w:rPr>
          <w:rFonts w:hint="eastAsia" w:ascii="宋体" w:hAnsi="宋体" w:cs="宋体"/>
          <w:color w:val="000000"/>
          <w:sz w:val="24"/>
          <w:szCs w:val="24"/>
        </w:rPr>
      </w:pPr>
      <w:r>
        <w:rPr>
          <w:rFonts w:hint="eastAsia" w:ascii="宋体" w:hAnsi="宋体" w:cs="宋体"/>
          <w:color w:val="000000"/>
          <w:sz w:val="24"/>
          <w:szCs w:val="24"/>
        </w:rPr>
        <w:t>15.</w:t>
      </w:r>
      <w:r>
        <w:rPr>
          <w:rFonts w:ascii="宋体" w:hAnsi="宋体" w:cs="宋体"/>
          <w:color w:val="000000"/>
          <w:sz w:val="24"/>
          <w:szCs w:val="24"/>
        </w:rPr>
        <w:t>2.</w:t>
      </w:r>
      <w:r>
        <w:rPr>
          <w:rFonts w:hint="eastAsia" w:ascii="宋体" w:hAnsi="宋体" w:cs="宋体"/>
          <w:color w:val="000000"/>
          <w:sz w:val="24"/>
          <w:szCs w:val="24"/>
        </w:rPr>
        <w:t>投标人在投标截止后或在招标文件中规定的投标有效期内不可撤销其投标。</w:t>
      </w:r>
    </w:p>
    <w:p w14:paraId="2524593B">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rPr>
        <w:t>15.</w:t>
      </w:r>
      <w:r>
        <w:rPr>
          <w:rFonts w:hint="eastAsia" w:ascii="宋体" w:hAnsi="宋体" w:cs="宋体"/>
          <w:color w:val="000000"/>
          <w:sz w:val="24"/>
          <w:szCs w:val="24"/>
          <w:lang w:val="zh-CN"/>
        </w:rPr>
        <w:t>3.除投标人不足3家不得开标的情形外，投标人所提交的投标文件在本项目投标截止时间后均不予退还。</w:t>
      </w:r>
    </w:p>
    <w:p w14:paraId="7E7FF88F">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6</w:t>
      </w:r>
      <w:r>
        <w:rPr>
          <w:rFonts w:hint="eastAsia" w:ascii="宋体" w:hAnsi="宋体" w:cs="宋体"/>
          <w:b/>
          <w:color w:val="000000"/>
          <w:sz w:val="24"/>
          <w:szCs w:val="24"/>
          <w:lang w:val="zh-CN"/>
        </w:rPr>
        <w:t>. 投标</w:t>
      </w:r>
    </w:p>
    <w:p w14:paraId="0E6F74C6">
      <w:pPr>
        <w:autoSpaceDE w:val="0"/>
        <w:autoSpaceDN w:val="0"/>
        <w:adjustRightInd w:val="0"/>
        <w:spacing w:line="360" w:lineRule="auto"/>
        <w:ind w:firstLine="480"/>
        <w:rPr>
          <w:rFonts w:hint="eastAsia" w:ascii="宋体" w:hAnsi="宋体" w:cs="宋体"/>
          <w:bCs/>
          <w:color w:val="000000"/>
          <w:sz w:val="24"/>
          <w:szCs w:val="24"/>
          <w:lang w:val="zh-CN"/>
        </w:rPr>
      </w:pPr>
      <w:r>
        <w:rPr>
          <w:rFonts w:hint="eastAsia" w:ascii="宋体" w:hAnsi="宋体" w:cs="宋体"/>
          <w:bCs/>
          <w:color w:val="000000"/>
          <w:sz w:val="24"/>
          <w:szCs w:val="24"/>
        </w:rPr>
        <w:t>16.</w:t>
      </w:r>
      <w:r>
        <w:rPr>
          <w:rFonts w:hint="eastAsia" w:ascii="宋体" w:hAnsi="宋体" w:cs="宋体"/>
          <w:bCs/>
          <w:color w:val="000000"/>
          <w:sz w:val="24"/>
          <w:szCs w:val="24"/>
          <w:lang w:val="zh-CN"/>
        </w:rPr>
        <w:t>1.投标人</w:t>
      </w:r>
      <w:r>
        <w:rPr>
          <w:rFonts w:hint="eastAsia" w:ascii="宋体" w:hAnsi="宋体" w:cs="宋体"/>
          <w:bCs/>
          <w:color w:val="000000"/>
          <w:sz w:val="24"/>
          <w:szCs w:val="24"/>
        </w:rPr>
        <w:t>递交</w:t>
      </w:r>
      <w:r>
        <w:rPr>
          <w:rFonts w:hint="eastAsia" w:ascii="宋体" w:hAnsi="宋体" w:cs="宋体"/>
          <w:bCs/>
          <w:color w:val="000000"/>
          <w:sz w:val="24"/>
          <w:szCs w:val="24"/>
          <w:lang w:val="zh-CN"/>
        </w:rPr>
        <w:t xml:space="preserve">的投标文件应在本项目投标截止时间前通过政采云平台上传电子加密投标文件。 </w:t>
      </w:r>
    </w:p>
    <w:p w14:paraId="64DF75EB">
      <w:pPr>
        <w:autoSpaceDE w:val="0"/>
        <w:autoSpaceDN w:val="0"/>
        <w:adjustRightInd w:val="0"/>
        <w:spacing w:line="360" w:lineRule="auto"/>
        <w:ind w:firstLine="480"/>
        <w:rPr>
          <w:rFonts w:hint="eastAsia" w:ascii="宋体" w:hAnsi="宋体" w:cs="宋体"/>
          <w:bCs/>
          <w:color w:val="000000"/>
          <w:sz w:val="24"/>
          <w:szCs w:val="24"/>
          <w:lang w:val="zh-CN"/>
        </w:rPr>
      </w:pPr>
      <w:r>
        <w:rPr>
          <w:rFonts w:hint="eastAsia" w:ascii="宋体" w:hAnsi="宋体" w:cs="宋体"/>
          <w:bCs/>
          <w:color w:val="000000"/>
          <w:sz w:val="24"/>
          <w:szCs w:val="24"/>
        </w:rPr>
        <w:t>16.</w:t>
      </w:r>
      <w:r>
        <w:rPr>
          <w:rFonts w:hint="eastAsia" w:ascii="宋体" w:hAnsi="宋体" w:cs="宋体"/>
          <w:bCs/>
          <w:color w:val="000000"/>
          <w:sz w:val="24"/>
          <w:szCs w:val="24"/>
          <w:lang w:val="zh-CN"/>
        </w:rPr>
        <w:t>2.逾期送达或者未按照招标文件要求上传的投标文件，采购人、采购代理机构应当拒收。</w:t>
      </w:r>
    </w:p>
    <w:p w14:paraId="6BBB95BB">
      <w:pPr>
        <w:autoSpaceDE w:val="0"/>
        <w:autoSpaceDN w:val="0"/>
        <w:adjustRightInd w:val="0"/>
        <w:spacing w:line="360" w:lineRule="auto"/>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1</w:t>
      </w:r>
      <w:r>
        <w:rPr>
          <w:rFonts w:hint="eastAsia" w:ascii="宋体" w:hAnsi="宋体" w:cs="宋体"/>
          <w:bCs/>
          <w:color w:val="000000"/>
          <w:sz w:val="24"/>
          <w:szCs w:val="24"/>
        </w:rPr>
        <w:t>6</w:t>
      </w:r>
      <w:r>
        <w:rPr>
          <w:rFonts w:hint="eastAsia" w:ascii="宋体" w:hAnsi="宋体" w:cs="宋体"/>
          <w:bCs/>
          <w:color w:val="000000"/>
          <w:sz w:val="24"/>
          <w:szCs w:val="24"/>
          <w:lang w:val="zh-CN"/>
        </w:rPr>
        <w:t>.</w:t>
      </w:r>
      <w:r>
        <w:rPr>
          <w:rFonts w:hint="eastAsia" w:ascii="宋体" w:hAnsi="宋体" w:cs="宋体"/>
          <w:bCs/>
          <w:color w:val="000000"/>
          <w:sz w:val="24"/>
          <w:szCs w:val="24"/>
        </w:rPr>
        <w:t>3.</w:t>
      </w:r>
      <w:r>
        <w:rPr>
          <w:rFonts w:hint="eastAsia" w:ascii="宋体" w:hAnsi="宋体" w:cs="宋体"/>
          <w:bCs/>
          <w:color w:val="000000"/>
          <w:sz w:val="24"/>
          <w:szCs w:val="24"/>
          <w:lang w:val="zh-CN"/>
        </w:rPr>
        <w:t>首次招标投标截止时间结束后投标人不足三家的，将重新招标；重新招标仍出现本款前述情形的，可按本须知第</w:t>
      </w:r>
      <w:r>
        <w:rPr>
          <w:rFonts w:hint="eastAsia" w:ascii="宋体" w:hAnsi="宋体" w:cs="宋体"/>
          <w:bCs/>
          <w:color w:val="000000"/>
          <w:sz w:val="24"/>
          <w:szCs w:val="24"/>
        </w:rPr>
        <w:t>20</w:t>
      </w:r>
      <w:r>
        <w:rPr>
          <w:rFonts w:hint="eastAsia" w:ascii="宋体" w:hAnsi="宋体" w:cs="宋体"/>
          <w:bCs/>
          <w:color w:val="000000"/>
          <w:sz w:val="24"/>
          <w:szCs w:val="24"/>
          <w:lang w:val="zh-CN"/>
        </w:rPr>
        <w:t>条规定办理。</w:t>
      </w:r>
    </w:p>
    <w:p w14:paraId="166C0D37">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7</w:t>
      </w:r>
      <w:r>
        <w:rPr>
          <w:rFonts w:hint="eastAsia" w:ascii="宋体" w:hAnsi="宋体" w:cs="宋体"/>
          <w:b/>
          <w:color w:val="000000"/>
          <w:sz w:val="24"/>
          <w:szCs w:val="24"/>
          <w:lang w:val="zh-CN"/>
        </w:rPr>
        <w:t>. 开标</w:t>
      </w:r>
    </w:p>
    <w:p w14:paraId="4A43A835">
      <w:pPr>
        <w:autoSpaceDE w:val="0"/>
        <w:autoSpaceDN w:val="0"/>
        <w:adjustRightInd w:val="0"/>
        <w:spacing w:line="360"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17.</w:t>
      </w:r>
      <w:r>
        <w:rPr>
          <w:rFonts w:hint="eastAsia" w:ascii="宋体" w:hAnsi="宋体" w:cs="宋体"/>
          <w:bCs/>
          <w:color w:val="000000"/>
          <w:sz w:val="24"/>
          <w:szCs w:val="24"/>
          <w:lang w:val="zh-CN"/>
        </w:rPr>
        <w:t xml:space="preserve">1.采购代理机构在招标公告中规定的日期、时间和地点组织开标会议。开标时邀请所有投标人代表参加，投标人代表应通过政采云平台参加开标。 </w:t>
      </w:r>
    </w:p>
    <w:p w14:paraId="2098E00F">
      <w:pPr>
        <w:autoSpaceDE w:val="0"/>
        <w:autoSpaceDN w:val="0"/>
        <w:adjustRightInd w:val="0"/>
        <w:spacing w:line="360"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17.</w:t>
      </w:r>
      <w:r>
        <w:rPr>
          <w:rFonts w:hint="eastAsia" w:ascii="宋体" w:hAnsi="宋体" w:cs="宋体"/>
          <w:bCs/>
          <w:color w:val="000000"/>
          <w:sz w:val="24"/>
          <w:szCs w:val="24"/>
          <w:lang w:val="zh-CN"/>
        </w:rPr>
        <w:t xml:space="preserve">2.开标流程以政采云平台流程为准。 </w:t>
      </w:r>
    </w:p>
    <w:p w14:paraId="23D85B05">
      <w:pPr>
        <w:autoSpaceDE w:val="0"/>
        <w:autoSpaceDN w:val="0"/>
        <w:adjustRightInd w:val="0"/>
        <w:spacing w:line="360"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17.</w:t>
      </w:r>
      <w:r>
        <w:rPr>
          <w:rFonts w:hint="eastAsia" w:ascii="宋体" w:hAnsi="宋体" w:cs="宋体"/>
          <w:bCs/>
          <w:color w:val="000000"/>
          <w:sz w:val="24"/>
          <w:szCs w:val="24"/>
          <w:lang w:val="zh-CN"/>
        </w:rPr>
        <w:t>3.投标人未参加开标的，视同认可开标结果。</w:t>
      </w:r>
    </w:p>
    <w:p w14:paraId="3E2891CE">
      <w:pPr>
        <w:autoSpaceDE w:val="0"/>
        <w:autoSpaceDN w:val="0"/>
        <w:adjustRightInd w:val="0"/>
        <w:spacing w:line="360" w:lineRule="auto"/>
        <w:ind w:firstLine="482"/>
        <w:rPr>
          <w:rFonts w:hint="eastAsia" w:ascii="宋体" w:hAnsi="宋体" w:cs="宋体"/>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8</w:t>
      </w:r>
      <w:r>
        <w:rPr>
          <w:rFonts w:hint="eastAsia" w:ascii="宋体" w:hAnsi="宋体" w:cs="宋体"/>
          <w:b/>
          <w:color w:val="000000"/>
          <w:sz w:val="24"/>
          <w:szCs w:val="24"/>
          <w:lang w:val="zh-CN"/>
        </w:rPr>
        <w:t>. 评标过程的保密性：</w:t>
      </w:r>
      <w:r>
        <w:rPr>
          <w:rFonts w:hint="eastAsia" w:ascii="宋体" w:hAnsi="宋体" w:cs="宋体"/>
          <w:color w:val="000000"/>
          <w:sz w:val="24"/>
          <w:szCs w:val="24"/>
          <w:lang w:val="zh-CN"/>
        </w:rPr>
        <w:t>公开开标后，直至向中标的投标人授予合同时止，除按招标文件规定予以公开的评标结果外，凡与审查、澄清、评价和比较投标有关的资料以及授标意见等，均不得向投标人及与评标无关的其他人透露。</w:t>
      </w:r>
    </w:p>
    <w:p w14:paraId="356E4E26">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9</w:t>
      </w:r>
      <w:r>
        <w:rPr>
          <w:rFonts w:hint="eastAsia" w:ascii="宋体" w:hAnsi="宋体" w:cs="宋体"/>
          <w:b/>
          <w:color w:val="000000"/>
          <w:sz w:val="24"/>
          <w:szCs w:val="24"/>
          <w:lang w:val="zh-CN"/>
        </w:rPr>
        <w:t>. 评标</w:t>
      </w:r>
    </w:p>
    <w:p w14:paraId="63B8D820">
      <w:pPr>
        <w:autoSpaceDE w:val="0"/>
        <w:autoSpaceDN w:val="0"/>
        <w:adjustRightInd w:val="0"/>
        <w:spacing w:line="360" w:lineRule="auto"/>
        <w:ind w:firstLine="482"/>
        <w:rPr>
          <w:rFonts w:hint="eastAsia" w:ascii="宋体" w:hAnsi="宋体" w:cs="宋体"/>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9</w:t>
      </w:r>
      <w:r>
        <w:rPr>
          <w:rFonts w:hint="eastAsia" w:ascii="宋体" w:hAnsi="宋体" w:cs="宋体"/>
          <w:b/>
          <w:color w:val="000000"/>
          <w:sz w:val="24"/>
          <w:szCs w:val="24"/>
          <w:lang w:val="zh-CN"/>
        </w:rPr>
        <w:t>.1 评标工作由采购代理机构负责组织，具体评标工作由采购代理机构依法组建的评标委员会负责。</w:t>
      </w:r>
      <w:r>
        <w:rPr>
          <w:rFonts w:hint="eastAsia" w:ascii="宋体" w:hAnsi="宋体" w:cs="宋体"/>
          <w:color w:val="000000"/>
          <w:sz w:val="24"/>
          <w:szCs w:val="24"/>
          <w:lang w:val="zh-CN"/>
        </w:rPr>
        <w:t>评标委员会由</w:t>
      </w:r>
      <w:r>
        <w:rPr>
          <w:rFonts w:hint="eastAsia" w:ascii="宋体" w:hAnsi="宋体" w:cs="宋体"/>
          <w:color w:val="000000"/>
          <w:sz w:val="24"/>
          <w:szCs w:val="24"/>
        </w:rPr>
        <w:t>评审</w:t>
      </w:r>
      <w:r>
        <w:rPr>
          <w:rFonts w:hint="eastAsia" w:ascii="宋体" w:hAnsi="宋体" w:cs="宋体"/>
          <w:color w:val="000000"/>
          <w:sz w:val="24"/>
          <w:szCs w:val="24"/>
          <w:lang w:val="zh-CN"/>
        </w:rPr>
        <w:t>专家和采购人代表组成。评标委员会的专家成员</w:t>
      </w:r>
      <w:r>
        <w:rPr>
          <w:rFonts w:hint="eastAsia" w:ascii="宋体" w:hAnsi="宋体" w:cs="宋体"/>
          <w:color w:val="000000"/>
          <w:sz w:val="24"/>
          <w:szCs w:val="24"/>
        </w:rPr>
        <w:t>依法</w:t>
      </w:r>
      <w:r>
        <w:rPr>
          <w:rFonts w:hint="eastAsia" w:ascii="宋体" w:hAnsi="宋体" w:cs="宋体"/>
          <w:color w:val="000000"/>
          <w:sz w:val="24"/>
          <w:szCs w:val="24"/>
          <w:lang w:val="zh-CN"/>
        </w:rPr>
        <w:t>从专家库中随机抽取产生，采购人代表由采购人委派。需要设立评标委员会主任的，评标委员会主任由专家担任，由评标委员会成员选举产生，负责主持具体评标工作。评标委员会根据有关法律法规和招标文件规定的方法和标准独立评标，负责完成评标的全过程直至评定预中标人。采购代理机构只负责评标组织工作，不参加评标。</w:t>
      </w:r>
    </w:p>
    <w:p w14:paraId="4548390A">
      <w:pPr>
        <w:autoSpaceDE w:val="0"/>
        <w:autoSpaceDN w:val="0"/>
        <w:adjustRightInd w:val="0"/>
        <w:spacing w:line="360" w:lineRule="auto"/>
        <w:ind w:firstLine="482"/>
        <w:rPr>
          <w:rFonts w:hint="eastAsia" w:ascii="宋体" w:hAnsi="宋体" w:cs="宋体"/>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9</w:t>
      </w:r>
      <w:r>
        <w:rPr>
          <w:rFonts w:hint="eastAsia" w:ascii="宋体" w:hAnsi="宋体" w:cs="宋体"/>
          <w:b/>
          <w:color w:val="000000"/>
          <w:sz w:val="24"/>
          <w:szCs w:val="24"/>
          <w:lang w:val="zh-CN"/>
        </w:rPr>
        <w:t>.2 审查是否所有投标人的报价均超过采购预算：</w:t>
      </w:r>
      <w:r>
        <w:rPr>
          <w:rFonts w:hint="eastAsia" w:ascii="宋体" w:hAnsi="宋体" w:cs="宋体"/>
          <w:color w:val="000000"/>
          <w:sz w:val="24"/>
          <w:szCs w:val="24"/>
          <w:lang w:val="zh-CN"/>
        </w:rPr>
        <w:t>根据《中华人民共和国政府采购法》的规定，所有投标人的报价均超过采购预算，采购人不能支付的，应予废标。</w:t>
      </w:r>
    </w:p>
    <w:p w14:paraId="7EC1004F">
      <w:pPr>
        <w:autoSpaceDE w:val="0"/>
        <w:autoSpaceDN w:val="0"/>
        <w:adjustRightInd w:val="0"/>
        <w:spacing w:line="360" w:lineRule="auto"/>
        <w:ind w:firstLine="482"/>
        <w:rPr>
          <w:rFonts w:hint="eastAsia" w:ascii="宋体" w:hAnsi="宋体" w:cs="宋体"/>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9</w:t>
      </w:r>
      <w:r>
        <w:rPr>
          <w:rFonts w:hint="eastAsia" w:ascii="宋体" w:hAnsi="宋体" w:cs="宋体"/>
          <w:b/>
          <w:color w:val="000000"/>
          <w:sz w:val="24"/>
          <w:szCs w:val="24"/>
          <w:lang w:val="zh-CN"/>
        </w:rPr>
        <w:t>.3 审查投标人是否存在串通投标行为：</w:t>
      </w:r>
      <w:r>
        <w:rPr>
          <w:rFonts w:hint="eastAsia" w:ascii="宋体" w:hAnsi="宋体" w:cs="宋体"/>
          <w:color w:val="000000"/>
          <w:sz w:val="24"/>
          <w:szCs w:val="24"/>
          <w:lang w:val="zh-CN"/>
        </w:rPr>
        <w:t>评标委员会发现投标人有下列情形之一的，将视为串通投标行为，相关投标人的投标应作废标处理。评标结束后，招标机构将以书面形式报告吉林省政府采购监督管理部门：</w:t>
      </w:r>
    </w:p>
    <w:p w14:paraId="4D35C212">
      <w:pPr>
        <w:autoSpaceDE w:val="0"/>
        <w:autoSpaceDN w:val="0"/>
        <w:adjustRightInd w:val="0"/>
        <w:spacing w:line="360"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lang w:val="zh-CN"/>
        </w:rPr>
        <w:t>（一）不同投标人的投标文件由同一单位或者个人编制；</w:t>
      </w:r>
    </w:p>
    <w:p w14:paraId="2263119F">
      <w:pPr>
        <w:autoSpaceDE w:val="0"/>
        <w:autoSpaceDN w:val="0"/>
        <w:adjustRightInd w:val="0"/>
        <w:spacing w:line="360"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lang w:val="zh-CN"/>
        </w:rPr>
        <w:t>（二）不同投标人委托同一单位或者个人办理投标事宜；</w:t>
      </w:r>
    </w:p>
    <w:p w14:paraId="4DA7B583">
      <w:pPr>
        <w:autoSpaceDE w:val="0"/>
        <w:autoSpaceDN w:val="0"/>
        <w:adjustRightInd w:val="0"/>
        <w:spacing w:line="360"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lang w:val="zh-CN"/>
        </w:rPr>
        <w:t>（三）不同投标人的投标文件载明的项目管理成员或者联系人员为同一人；</w:t>
      </w:r>
    </w:p>
    <w:p w14:paraId="35EB37A2">
      <w:pPr>
        <w:autoSpaceDE w:val="0"/>
        <w:autoSpaceDN w:val="0"/>
        <w:adjustRightInd w:val="0"/>
        <w:spacing w:line="360"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lang w:val="zh-CN"/>
        </w:rPr>
        <w:t>（四）不同投标人的投标文件异常一致或者投标报价呈规律性差异；</w:t>
      </w:r>
    </w:p>
    <w:p w14:paraId="1BC221EA">
      <w:pPr>
        <w:autoSpaceDE w:val="0"/>
        <w:autoSpaceDN w:val="0"/>
        <w:adjustRightInd w:val="0"/>
        <w:spacing w:line="360"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lang w:val="zh-CN"/>
        </w:rPr>
        <w:t>（五）不同投标人的投标文件相互混装；</w:t>
      </w:r>
    </w:p>
    <w:p w14:paraId="019BBC3E">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Cs/>
          <w:color w:val="000000"/>
          <w:sz w:val="24"/>
          <w:szCs w:val="24"/>
          <w:lang w:val="zh-CN"/>
        </w:rPr>
        <w:t>（六）不同投标人的投标保证金从同一单位或者个人的账户转出。</w:t>
      </w:r>
    </w:p>
    <w:p w14:paraId="4E914CC5">
      <w:pPr>
        <w:autoSpaceDE w:val="0"/>
        <w:autoSpaceDN w:val="0"/>
        <w:adjustRightInd w:val="0"/>
        <w:spacing w:line="360" w:lineRule="auto"/>
        <w:ind w:firstLine="482"/>
        <w:rPr>
          <w:rFonts w:hint="eastAsia" w:ascii="宋体" w:hAnsi="宋体" w:cs="宋体"/>
          <w:bCs/>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9</w:t>
      </w:r>
      <w:r>
        <w:rPr>
          <w:rFonts w:hint="eastAsia" w:ascii="宋体" w:hAnsi="宋体" w:cs="宋体"/>
          <w:b/>
          <w:color w:val="000000"/>
          <w:sz w:val="24"/>
          <w:szCs w:val="24"/>
          <w:lang w:val="zh-CN"/>
        </w:rPr>
        <w:t>.4</w:t>
      </w:r>
      <w:r>
        <w:rPr>
          <w:rFonts w:hint="eastAsia" w:ascii="宋体" w:hAnsi="宋体" w:cs="宋体"/>
          <w:bCs/>
          <w:color w:val="000000"/>
          <w:sz w:val="24"/>
          <w:szCs w:val="24"/>
          <w:lang w:val="zh-CN"/>
        </w:rPr>
        <w:t xml:space="preserve"> 开标结束后，由采购人或者采购代理机构对投标文件中的供应商资格证明文件进行审查。详见第三章评标办法中“资格性审查表”。供应商提供的资格证明文件缺少任何一项或有任何一项不满足，都将被视为无效投标。供应商所提供的资格证明文件应图文清晰、易于辨识，否则由此带来的不利后果由供应商自行承担。资格审查结束后，采购人或者采购代理机构应当对审查结果进行签字确认；</w:t>
      </w:r>
    </w:p>
    <w:p w14:paraId="373B0EE4">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Cs/>
          <w:color w:val="000000"/>
          <w:sz w:val="24"/>
          <w:szCs w:val="24"/>
        </w:rPr>
        <w:t>19.5 对投标文件符合性部分进行审查</w:t>
      </w:r>
    </w:p>
    <w:p w14:paraId="6FB7004A">
      <w:pPr>
        <w:autoSpaceDE w:val="0"/>
        <w:autoSpaceDN w:val="0"/>
        <w:adjustRightInd w:val="0"/>
        <w:spacing w:line="360" w:lineRule="auto"/>
        <w:ind w:firstLine="482"/>
        <w:rPr>
          <w:rFonts w:hint="eastAsia" w:ascii="宋体" w:hAnsi="宋体" w:cs="宋体"/>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9</w:t>
      </w:r>
      <w:r>
        <w:rPr>
          <w:rFonts w:hint="eastAsia" w:ascii="宋体" w:hAnsi="宋体" w:cs="宋体"/>
          <w:b/>
          <w:color w:val="000000"/>
          <w:sz w:val="24"/>
          <w:szCs w:val="24"/>
          <w:lang w:val="zh-CN"/>
        </w:rPr>
        <w:t xml:space="preserve">.5.1 </w:t>
      </w:r>
      <w:r>
        <w:rPr>
          <w:rFonts w:hint="eastAsia" w:ascii="宋体" w:hAnsi="宋体" w:cs="宋体"/>
          <w:color w:val="000000"/>
          <w:sz w:val="24"/>
          <w:szCs w:val="24"/>
          <w:lang w:val="zh-CN"/>
        </w:rPr>
        <w:t>对于</w:t>
      </w:r>
      <w:r>
        <w:rPr>
          <w:rFonts w:hint="eastAsia" w:ascii="宋体" w:hAnsi="宋体" w:cs="宋体"/>
          <w:color w:val="000000"/>
          <w:sz w:val="24"/>
          <w:szCs w:val="24"/>
        </w:rPr>
        <w:t>资格审查</w:t>
      </w:r>
      <w:r>
        <w:rPr>
          <w:rFonts w:hint="eastAsia" w:ascii="宋体" w:hAnsi="宋体" w:cs="宋体"/>
          <w:color w:val="000000"/>
          <w:sz w:val="24"/>
          <w:szCs w:val="24"/>
          <w:lang w:val="zh-CN"/>
        </w:rPr>
        <w:t>合格的投标人，评标委员会将审查其投标文件技术部分是否对招标文件规定的事项、格式、条款和技术规格等要求都做出了实质性响应。</w:t>
      </w:r>
    </w:p>
    <w:p w14:paraId="5A931150">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9</w:t>
      </w:r>
      <w:r>
        <w:rPr>
          <w:rFonts w:hint="eastAsia" w:ascii="宋体" w:hAnsi="宋体" w:cs="宋体"/>
          <w:b/>
          <w:color w:val="000000"/>
          <w:sz w:val="24"/>
          <w:szCs w:val="24"/>
          <w:lang w:val="zh-CN"/>
        </w:rPr>
        <w:t xml:space="preserve">.5.2 </w:t>
      </w:r>
      <w:r>
        <w:rPr>
          <w:rFonts w:hint="eastAsia" w:ascii="宋体" w:hAnsi="宋体" w:cs="宋体"/>
          <w:color w:val="000000"/>
          <w:sz w:val="24"/>
          <w:szCs w:val="24"/>
          <w:lang w:val="zh-CN"/>
        </w:rPr>
        <w:t>实质性响应的投标是指与招标文件规定的事项、条款、条件和技术规格相符，没有重大偏离和保留。没有实质性响应招标文件要求的投标将被拒绝。</w:t>
      </w:r>
    </w:p>
    <w:p w14:paraId="570C22C5">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9</w:t>
      </w:r>
      <w:r>
        <w:rPr>
          <w:rFonts w:hint="eastAsia" w:ascii="宋体" w:hAnsi="宋体" w:cs="宋体"/>
          <w:b/>
          <w:color w:val="000000"/>
          <w:sz w:val="24"/>
          <w:szCs w:val="24"/>
          <w:lang w:val="zh-CN"/>
        </w:rPr>
        <w:t xml:space="preserve">.6 </w:t>
      </w:r>
      <w:r>
        <w:rPr>
          <w:rFonts w:hint="eastAsia" w:ascii="宋体" w:hAnsi="宋体" w:cs="宋体"/>
          <w:color w:val="000000"/>
          <w:sz w:val="24"/>
          <w:szCs w:val="24"/>
          <w:lang w:val="zh-CN"/>
        </w:rPr>
        <w:t>重大偏离和保留是指实质上影响合同的供货范围、质量和性能，或者实质上限制了合同中采购人的权利或投标人的义务。投标文件有下列情形之一的属于重大偏离和保留，将作废标处理：</w:t>
      </w:r>
    </w:p>
    <w:p w14:paraId="079ED150">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（1）投标人未按招标文件规定提交所要求提交的全部文件或者提交的文件无效或者不符合招标文件的规定；</w:t>
      </w:r>
    </w:p>
    <w:p w14:paraId="72D09332">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（2）投标文件未按招标文件的规定有效签署和加盖公章；</w:t>
      </w:r>
    </w:p>
    <w:p w14:paraId="46ABDAA7">
      <w:pPr>
        <w:tabs>
          <w:tab w:val="left" w:pos="1920"/>
        </w:tabs>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（3）投标文件载明的项目完成期限超过招标文件规定的期限；</w:t>
      </w:r>
    </w:p>
    <w:p w14:paraId="49F00B50">
      <w:pPr>
        <w:tabs>
          <w:tab w:val="left" w:pos="1920"/>
        </w:tabs>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（4）投标文件不符合招标文件规定的技术规格、技术标准要求；</w:t>
      </w:r>
    </w:p>
    <w:p w14:paraId="18EEE351">
      <w:pPr>
        <w:tabs>
          <w:tab w:val="left" w:pos="1920"/>
        </w:tabs>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（5）投标文件载明的货物包装方式、检验方法和标准等不符合招标文件要求；</w:t>
      </w:r>
    </w:p>
    <w:p w14:paraId="1F935971">
      <w:pPr>
        <w:tabs>
          <w:tab w:val="left" w:pos="1920"/>
        </w:tabs>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（6）投标文件附有采购人不能接受的条件；</w:t>
      </w:r>
    </w:p>
    <w:p w14:paraId="72DB14AC">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（7）不符合招标文件规定的其他实质性要求。</w:t>
      </w:r>
    </w:p>
    <w:p w14:paraId="59B4F568">
      <w:pPr>
        <w:spacing w:line="360" w:lineRule="auto"/>
        <w:ind w:firstLine="482" w:firstLineChars="200"/>
        <w:rPr>
          <w:rFonts w:hint="eastAsia" w:ascii="宋体" w:hAnsi="宋体" w:cs="宋体"/>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9</w:t>
      </w:r>
      <w:r>
        <w:rPr>
          <w:rFonts w:hint="eastAsia" w:ascii="宋体" w:hAnsi="宋体" w:cs="宋体"/>
          <w:b/>
          <w:color w:val="000000"/>
          <w:sz w:val="24"/>
          <w:szCs w:val="24"/>
          <w:lang w:val="zh-CN"/>
        </w:rPr>
        <w:t xml:space="preserve">.7 </w:t>
      </w:r>
      <w:r>
        <w:rPr>
          <w:rFonts w:hint="eastAsia" w:ascii="宋体" w:hAnsi="宋体" w:cs="宋体"/>
          <w:color w:val="000000"/>
          <w:sz w:val="24"/>
          <w:szCs w:val="24"/>
          <w:lang w:val="zh-CN"/>
        </w:rPr>
        <w:t>评标委员会将允许修正投标文件中不构成重大偏离的细微偏离，但这些修正应不会对实质上响应招标文件要求的投标人的竞争地位（相互排序）产生不公正的影响。</w:t>
      </w:r>
    </w:p>
    <w:p w14:paraId="0E37786B">
      <w:pPr>
        <w:autoSpaceDE w:val="0"/>
        <w:autoSpaceDN w:val="0"/>
        <w:adjustRightInd w:val="0"/>
        <w:spacing w:line="360" w:lineRule="auto"/>
        <w:ind w:firstLine="480"/>
        <w:rPr>
          <w:rFonts w:hint="eastAsia" w:ascii="宋体" w:hAnsi="宋体" w:cs="宋体"/>
          <w:bCs/>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9</w:t>
      </w:r>
      <w:r>
        <w:rPr>
          <w:rFonts w:hint="eastAsia" w:ascii="宋体" w:hAnsi="宋体" w:cs="宋体"/>
          <w:b/>
          <w:color w:val="000000"/>
          <w:sz w:val="24"/>
          <w:szCs w:val="24"/>
          <w:lang w:val="zh-CN"/>
        </w:rPr>
        <w:t xml:space="preserve">.8 </w:t>
      </w:r>
      <w:r>
        <w:rPr>
          <w:rFonts w:hint="eastAsia" w:ascii="宋体" w:hAnsi="宋体" w:cs="宋体"/>
          <w:bCs/>
          <w:color w:val="000000"/>
          <w:sz w:val="24"/>
          <w:szCs w:val="24"/>
          <w:lang w:val="zh-CN"/>
        </w:rPr>
        <w:t>评标委员会对投标文件的判定，只依据投标文件内容本身，不依据任何外来证明。</w:t>
      </w:r>
    </w:p>
    <w:p w14:paraId="011347FD">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lang w:val="zh-CN"/>
        </w:rPr>
        <w:t>1</w:t>
      </w:r>
      <w:r>
        <w:rPr>
          <w:rFonts w:hint="eastAsia" w:ascii="宋体" w:hAnsi="宋体" w:cs="宋体"/>
          <w:b/>
          <w:color w:val="000000"/>
          <w:sz w:val="24"/>
          <w:szCs w:val="24"/>
        </w:rPr>
        <w:t>9</w:t>
      </w:r>
      <w:r>
        <w:rPr>
          <w:rFonts w:hint="eastAsia" w:ascii="宋体" w:hAnsi="宋体" w:cs="宋体"/>
          <w:b/>
          <w:color w:val="000000"/>
          <w:sz w:val="24"/>
          <w:szCs w:val="24"/>
          <w:lang w:val="zh-CN"/>
        </w:rPr>
        <w:t>.9 投标报价的审查：</w:t>
      </w:r>
    </w:p>
    <w:p w14:paraId="5BBD6157">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rPr>
        <w:t>19</w:t>
      </w:r>
      <w:r>
        <w:rPr>
          <w:rFonts w:hint="eastAsia" w:ascii="宋体" w:hAnsi="宋体" w:cs="宋体"/>
          <w:color w:val="000000"/>
          <w:sz w:val="24"/>
          <w:szCs w:val="24"/>
          <w:lang w:val="zh-CN"/>
        </w:rPr>
        <w:t>.</w:t>
      </w:r>
      <w:r>
        <w:rPr>
          <w:rFonts w:hint="eastAsia" w:ascii="宋体" w:hAnsi="宋体" w:cs="宋体"/>
          <w:color w:val="000000"/>
          <w:sz w:val="24"/>
          <w:szCs w:val="24"/>
        </w:rPr>
        <w:t>9</w:t>
      </w:r>
      <w:r>
        <w:rPr>
          <w:rFonts w:hint="eastAsia" w:ascii="宋体" w:hAnsi="宋体" w:cs="宋体"/>
          <w:color w:val="000000"/>
          <w:sz w:val="24"/>
          <w:szCs w:val="24"/>
          <w:lang w:val="zh-CN"/>
        </w:rPr>
        <w:t xml:space="preserve">.1 招标文件对于报价修正是否另有规定： </w:t>
      </w:r>
    </w:p>
    <w:p w14:paraId="0B4C3BCC">
      <w:pPr>
        <w:spacing w:line="360" w:lineRule="auto"/>
        <w:ind w:firstLine="1920" w:firstLineChars="800"/>
        <w:rPr>
          <w:rFonts w:hint="eastAsia" w:ascii="宋体" w:hAnsi="宋体" w:cs="宋体"/>
          <w:color w:val="000000"/>
          <w:sz w:val="24"/>
          <w:szCs w:val="24"/>
          <w:lang w:val="zh-CN"/>
        </w:rPr>
      </w:pPr>
      <w:r>
        <w:rPr>
          <w:rFonts w:hint="eastAsia" w:ascii="宋体" w:hAnsi="宋体" w:cs="宋体"/>
          <w:color w:val="000000"/>
          <w:sz w:val="24"/>
          <w:szCs w:val="24"/>
          <w:lang w:val="zh-CN"/>
        </w:rPr>
        <w:t xml:space="preserve">□有，具体规定为：______________ </w:t>
      </w:r>
    </w:p>
    <w:p w14:paraId="069EC35A">
      <w:pPr>
        <w:spacing w:line="360" w:lineRule="auto"/>
        <w:ind w:firstLine="1920" w:firstLineChars="800"/>
        <w:rPr>
          <w:rFonts w:hint="eastAsia" w:ascii="宋体" w:hAnsi="宋体" w:cs="宋体"/>
          <w:color w:val="000000"/>
          <w:sz w:val="24"/>
          <w:szCs w:val="24"/>
          <w:lang w:val="zh-CN"/>
        </w:rPr>
      </w:pPr>
      <w:r>
        <w:rPr>
          <w:rFonts w:ascii="Segoe UI Symbol" w:hAnsi="Segoe UI Symbol" w:cs="Segoe UI Symbol"/>
          <w:color w:val="000000"/>
          <w:sz w:val="24"/>
          <w:szCs w:val="24"/>
          <w:lang w:val="zh-CN"/>
        </w:rPr>
        <w:t>☑</w:t>
      </w:r>
      <w:r>
        <w:rPr>
          <w:rFonts w:hint="eastAsia" w:ascii="宋体" w:hAnsi="宋体" w:cs="宋体"/>
          <w:color w:val="000000"/>
          <w:sz w:val="24"/>
          <w:szCs w:val="24"/>
          <w:lang w:val="zh-CN"/>
        </w:rPr>
        <w:t xml:space="preserve">无，按下述 </w:t>
      </w:r>
      <w:r>
        <w:rPr>
          <w:rFonts w:hint="eastAsia" w:ascii="宋体" w:hAnsi="宋体" w:cs="宋体"/>
          <w:color w:val="000000"/>
          <w:sz w:val="24"/>
          <w:szCs w:val="24"/>
        </w:rPr>
        <w:t>19</w:t>
      </w:r>
      <w:r>
        <w:rPr>
          <w:rFonts w:hint="eastAsia" w:ascii="宋体" w:hAnsi="宋体" w:cs="宋体"/>
          <w:color w:val="000000"/>
          <w:sz w:val="24"/>
          <w:szCs w:val="24"/>
          <w:lang w:val="zh-CN"/>
        </w:rPr>
        <w:t>.</w:t>
      </w:r>
      <w:r>
        <w:rPr>
          <w:rFonts w:hint="eastAsia" w:ascii="宋体" w:hAnsi="宋体" w:cs="宋体"/>
          <w:color w:val="000000"/>
          <w:sz w:val="24"/>
          <w:szCs w:val="24"/>
        </w:rPr>
        <w:t>9</w:t>
      </w:r>
      <w:r>
        <w:rPr>
          <w:rFonts w:hint="eastAsia" w:ascii="宋体" w:hAnsi="宋体" w:cs="宋体"/>
          <w:color w:val="000000"/>
          <w:sz w:val="24"/>
          <w:szCs w:val="24"/>
          <w:lang w:val="zh-CN"/>
        </w:rPr>
        <w:t>.2-</w:t>
      </w:r>
      <w:r>
        <w:rPr>
          <w:rFonts w:hint="eastAsia" w:ascii="宋体" w:hAnsi="宋体" w:cs="宋体"/>
          <w:color w:val="000000"/>
          <w:sz w:val="24"/>
          <w:szCs w:val="24"/>
        </w:rPr>
        <w:t>19</w:t>
      </w:r>
      <w:r>
        <w:rPr>
          <w:rFonts w:hint="eastAsia" w:ascii="宋体" w:hAnsi="宋体" w:cs="宋体"/>
          <w:color w:val="000000"/>
          <w:sz w:val="24"/>
          <w:szCs w:val="24"/>
          <w:lang w:val="zh-CN"/>
        </w:rPr>
        <w:t>.</w:t>
      </w:r>
      <w:r>
        <w:rPr>
          <w:rFonts w:hint="eastAsia" w:ascii="宋体" w:hAnsi="宋体" w:cs="宋体"/>
          <w:color w:val="000000"/>
          <w:sz w:val="24"/>
          <w:szCs w:val="24"/>
        </w:rPr>
        <w:t>9</w:t>
      </w:r>
      <w:r>
        <w:rPr>
          <w:rFonts w:hint="eastAsia" w:ascii="宋体" w:hAnsi="宋体" w:cs="宋体"/>
          <w:color w:val="000000"/>
          <w:sz w:val="24"/>
          <w:szCs w:val="24"/>
          <w:lang w:val="zh-CN"/>
        </w:rPr>
        <w:t>.</w:t>
      </w:r>
      <w:r>
        <w:rPr>
          <w:rFonts w:hint="eastAsia" w:ascii="宋体" w:hAnsi="宋体" w:cs="宋体"/>
          <w:color w:val="000000"/>
          <w:sz w:val="24"/>
          <w:szCs w:val="24"/>
        </w:rPr>
        <w:t>7</w:t>
      </w:r>
      <w:r>
        <w:rPr>
          <w:rFonts w:hint="eastAsia" w:ascii="宋体" w:hAnsi="宋体" w:cs="宋体"/>
          <w:color w:val="000000"/>
          <w:sz w:val="24"/>
          <w:szCs w:val="24"/>
          <w:lang w:val="zh-CN"/>
        </w:rPr>
        <w:t xml:space="preserve"> 项规定修正。 </w:t>
      </w:r>
    </w:p>
    <w:p w14:paraId="13B8F6B1">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rPr>
        <w:t>19</w:t>
      </w:r>
      <w:r>
        <w:rPr>
          <w:rFonts w:hint="eastAsia" w:ascii="宋体" w:hAnsi="宋体" w:cs="宋体"/>
          <w:color w:val="000000"/>
          <w:sz w:val="24"/>
          <w:szCs w:val="24"/>
          <w:lang w:val="zh-CN"/>
        </w:rPr>
        <w:t>.</w:t>
      </w:r>
      <w:r>
        <w:rPr>
          <w:rFonts w:hint="eastAsia" w:ascii="宋体" w:hAnsi="宋体" w:cs="宋体"/>
          <w:color w:val="000000"/>
          <w:sz w:val="24"/>
          <w:szCs w:val="24"/>
        </w:rPr>
        <w:t>9</w:t>
      </w:r>
      <w:r>
        <w:rPr>
          <w:rFonts w:hint="eastAsia" w:ascii="宋体" w:hAnsi="宋体" w:cs="宋体"/>
          <w:color w:val="000000"/>
          <w:sz w:val="24"/>
          <w:szCs w:val="24"/>
          <w:lang w:val="zh-CN"/>
        </w:rPr>
        <w:t xml:space="preserve">.2 单独递交的开标一览表（报价表）与投标文件中开标一览表（报价表） </w:t>
      </w:r>
    </w:p>
    <w:p w14:paraId="39DC911C">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 xml:space="preserve">内容不一致的，以单独递交的开标一览表（报价表）为准； </w:t>
      </w:r>
    </w:p>
    <w:p w14:paraId="5DB7AA79">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rPr>
        <w:t>19</w:t>
      </w:r>
      <w:r>
        <w:rPr>
          <w:rFonts w:hint="eastAsia" w:ascii="宋体" w:hAnsi="宋体" w:cs="宋体"/>
          <w:color w:val="000000"/>
          <w:sz w:val="24"/>
          <w:szCs w:val="24"/>
          <w:lang w:val="zh-CN"/>
        </w:rPr>
        <w:t>.</w:t>
      </w:r>
      <w:r>
        <w:rPr>
          <w:rFonts w:hint="eastAsia" w:ascii="宋体" w:hAnsi="宋体" w:cs="宋体"/>
          <w:color w:val="000000"/>
          <w:sz w:val="24"/>
          <w:szCs w:val="24"/>
        </w:rPr>
        <w:t>9</w:t>
      </w:r>
      <w:r>
        <w:rPr>
          <w:rFonts w:hint="eastAsia" w:ascii="宋体" w:hAnsi="宋体" w:cs="宋体"/>
          <w:color w:val="000000"/>
          <w:sz w:val="24"/>
          <w:szCs w:val="24"/>
          <w:lang w:val="zh-CN"/>
        </w:rPr>
        <w:t xml:space="preserve">.3 投标文件中开标一览表（报价表）内容与投标文件中相应内容不一致 </w:t>
      </w:r>
    </w:p>
    <w:p w14:paraId="6A13D2D9">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 xml:space="preserve">的，以开标一览表（报价表）为准； </w:t>
      </w:r>
    </w:p>
    <w:p w14:paraId="158CC872">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rPr>
        <w:t>19</w:t>
      </w:r>
      <w:r>
        <w:rPr>
          <w:rFonts w:hint="eastAsia" w:ascii="宋体" w:hAnsi="宋体" w:cs="宋体"/>
          <w:color w:val="000000"/>
          <w:sz w:val="24"/>
          <w:szCs w:val="24"/>
          <w:lang w:val="zh-CN"/>
        </w:rPr>
        <w:t>.</w:t>
      </w:r>
      <w:r>
        <w:rPr>
          <w:rFonts w:hint="eastAsia" w:ascii="宋体" w:hAnsi="宋体" w:cs="宋体"/>
          <w:color w:val="000000"/>
          <w:sz w:val="24"/>
          <w:szCs w:val="24"/>
        </w:rPr>
        <w:t>9</w:t>
      </w:r>
      <w:r>
        <w:rPr>
          <w:rFonts w:hint="eastAsia" w:ascii="宋体" w:hAnsi="宋体" w:cs="宋体"/>
          <w:color w:val="000000"/>
          <w:sz w:val="24"/>
          <w:szCs w:val="24"/>
          <w:lang w:val="zh-CN"/>
        </w:rPr>
        <w:t xml:space="preserve">.4 大写金额和小写金额不一致的，以大写金额为准； </w:t>
      </w:r>
    </w:p>
    <w:p w14:paraId="54F26952">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rPr>
        <w:t>19</w:t>
      </w:r>
      <w:r>
        <w:rPr>
          <w:rFonts w:hint="eastAsia" w:ascii="宋体" w:hAnsi="宋体" w:cs="宋体"/>
          <w:color w:val="000000"/>
          <w:sz w:val="24"/>
          <w:szCs w:val="24"/>
          <w:lang w:val="zh-CN"/>
        </w:rPr>
        <w:t>.</w:t>
      </w:r>
      <w:r>
        <w:rPr>
          <w:rFonts w:hint="eastAsia" w:ascii="宋体" w:hAnsi="宋体" w:cs="宋体"/>
          <w:color w:val="000000"/>
          <w:sz w:val="24"/>
          <w:szCs w:val="24"/>
        </w:rPr>
        <w:t>9</w:t>
      </w:r>
      <w:r>
        <w:rPr>
          <w:rFonts w:hint="eastAsia" w:ascii="宋体" w:hAnsi="宋体" w:cs="宋体"/>
          <w:color w:val="000000"/>
          <w:sz w:val="24"/>
          <w:szCs w:val="24"/>
          <w:lang w:val="zh-CN"/>
        </w:rPr>
        <w:t xml:space="preserve">.5 单价金额小数点或者百分比有明显错位的，以开标一览表的总价为准， </w:t>
      </w:r>
    </w:p>
    <w:p w14:paraId="72BF598F">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 xml:space="preserve">并修改单价； </w:t>
      </w:r>
    </w:p>
    <w:p w14:paraId="31DBBCEF">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rPr>
        <w:t>19</w:t>
      </w:r>
      <w:r>
        <w:rPr>
          <w:rFonts w:hint="eastAsia" w:ascii="宋体" w:hAnsi="宋体" w:cs="宋体"/>
          <w:color w:val="000000"/>
          <w:sz w:val="24"/>
          <w:szCs w:val="24"/>
          <w:lang w:val="zh-CN"/>
        </w:rPr>
        <w:t>.</w:t>
      </w:r>
      <w:r>
        <w:rPr>
          <w:rFonts w:hint="eastAsia" w:ascii="宋体" w:hAnsi="宋体" w:cs="宋体"/>
          <w:color w:val="000000"/>
          <w:sz w:val="24"/>
          <w:szCs w:val="24"/>
        </w:rPr>
        <w:t>9</w:t>
      </w:r>
      <w:r>
        <w:rPr>
          <w:rFonts w:hint="eastAsia" w:ascii="宋体" w:hAnsi="宋体" w:cs="宋体"/>
          <w:color w:val="000000"/>
          <w:sz w:val="24"/>
          <w:szCs w:val="24"/>
          <w:lang w:val="zh-CN"/>
        </w:rPr>
        <w:t xml:space="preserve">.6 总价金额与按单价汇总金额不一致的，以单价金额计算结果为准。 </w:t>
      </w:r>
    </w:p>
    <w:p w14:paraId="55EBEB93">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rPr>
        <w:t>19</w:t>
      </w:r>
      <w:r>
        <w:rPr>
          <w:rFonts w:hint="eastAsia" w:ascii="宋体" w:hAnsi="宋体" w:cs="宋体"/>
          <w:color w:val="000000"/>
          <w:sz w:val="24"/>
          <w:szCs w:val="24"/>
          <w:lang w:val="zh-CN"/>
        </w:rPr>
        <w:t>.</w:t>
      </w:r>
      <w:r>
        <w:rPr>
          <w:rFonts w:hint="eastAsia" w:ascii="宋体" w:hAnsi="宋体" w:cs="宋体"/>
          <w:color w:val="000000"/>
          <w:sz w:val="24"/>
          <w:szCs w:val="24"/>
        </w:rPr>
        <w:t>9</w:t>
      </w:r>
      <w:r>
        <w:rPr>
          <w:rFonts w:hint="eastAsia" w:ascii="宋体" w:hAnsi="宋体" w:cs="宋体"/>
          <w:color w:val="000000"/>
          <w:sz w:val="24"/>
          <w:szCs w:val="24"/>
          <w:lang w:val="zh-CN"/>
        </w:rPr>
        <w:t xml:space="preserve">.7 同时出现两种以上不一致的，按照前款规定的顺序修正。修正后的报 </w:t>
      </w:r>
    </w:p>
    <w:p w14:paraId="56B93C92">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价经投标人书面确认后产生约束力，投标人不确认的，其投标无效。</w:t>
      </w:r>
    </w:p>
    <w:p w14:paraId="1B558289">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rPr>
        <w:t>19.9.8</w:t>
      </w:r>
      <w:r>
        <w:rPr>
          <w:rFonts w:hint="eastAsia" w:ascii="宋体" w:hAnsi="宋体" w:cs="宋体"/>
          <w:color w:val="000000"/>
          <w:sz w:val="24"/>
          <w:szCs w:val="24"/>
          <w:lang w:val="zh-CN"/>
        </w:rPr>
        <w:t xml:space="preserve">价格评审：除了算术修正和落实政府采购政策需进行的价格扣除外，不能对投标人的投标价格进行任何调整。 </w:t>
      </w:r>
    </w:p>
    <w:p w14:paraId="3A7D7EE9">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1</w:t>
      </w:r>
      <w:r>
        <w:rPr>
          <w:rFonts w:hint="eastAsia" w:ascii="宋体" w:hAnsi="宋体" w:cs="宋体"/>
          <w:color w:val="000000"/>
          <w:sz w:val="24"/>
          <w:szCs w:val="24"/>
        </w:rPr>
        <w:t>9</w:t>
      </w:r>
      <w:r>
        <w:rPr>
          <w:rFonts w:hint="eastAsia" w:ascii="宋体" w:hAnsi="宋体" w:cs="宋体"/>
          <w:color w:val="000000"/>
          <w:sz w:val="24"/>
          <w:szCs w:val="24"/>
          <w:lang w:val="zh-CN"/>
        </w:rPr>
        <w:t>.</w:t>
      </w:r>
      <w:r>
        <w:rPr>
          <w:rFonts w:hint="eastAsia" w:ascii="宋体" w:hAnsi="宋体" w:cs="宋体"/>
          <w:color w:val="000000"/>
          <w:sz w:val="24"/>
          <w:szCs w:val="24"/>
        </w:rPr>
        <w:t>9.9</w:t>
      </w:r>
      <w:r>
        <w:rPr>
          <w:rFonts w:hint="eastAsia" w:ascii="宋体" w:hAnsi="宋体" w:cs="宋体"/>
          <w:color w:val="000000"/>
          <w:sz w:val="24"/>
          <w:szCs w:val="24"/>
          <w:lang w:val="zh-CN"/>
        </w:rPr>
        <w:t xml:space="preserve"> 澄清：评标委员会对于投标文件实质性响应了招标文件要求，但在个别地方提供了不完整的技术信息和数据，以及同类问题表述不一致或者有明显文字和计算错误等细微偏离问题，将以书面形式（澄清细微偏离由评标委员会依据招标文件集体决定并由评标委员会专家签字）要求投标人在规定的时限内（在评标结束前）作出必要的澄清、说明或者补正。投标人的澄清、说明或者补正应当采用书面形式，由投标人法定代表人或其授权代理人签字（须提交签字人身份证件并与投标文件签字人一致），并不得超出投标文件的范围或者改变投标文件的实质性内容。投标人拒不进行澄清、说明、补正的，或者不能在规定时间内作出书面澄清、说明、补正的，评标委员会将拒绝其投标。</w:t>
      </w:r>
    </w:p>
    <w:p w14:paraId="7B7A92DF">
      <w:pPr>
        <w:spacing w:line="360" w:lineRule="auto"/>
        <w:ind w:firstLine="480" w:firstLineChars="200"/>
        <w:rPr>
          <w:rFonts w:hint="eastAsia" w:ascii="宋体" w:hAnsi="宋体" w:cs="宋体"/>
          <w:sz w:val="24"/>
          <w:szCs w:val="24"/>
          <w:lang w:val="zh-CN"/>
        </w:rPr>
      </w:pPr>
      <w:r>
        <w:rPr>
          <w:rFonts w:hint="eastAsia" w:ascii="宋体" w:hAnsi="宋体" w:cs="宋体"/>
          <w:sz w:val="24"/>
          <w:szCs w:val="24"/>
        </w:rPr>
        <w:t>19.9.10</w:t>
      </w:r>
      <w:r>
        <w:rPr>
          <w:rFonts w:hint="eastAsia" w:ascii="宋体" w:hAnsi="宋体" w:cs="宋体"/>
          <w:sz w:val="24"/>
          <w:szCs w:val="24"/>
          <w:lang w:val="zh-CN"/>
        </w:rPr>
        <w:t>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28617A3C">
      <w:pPr>
        <w:autoSpaceDE w:val="0"/>
        <w:autoSpaceDN w:val="0"/>
        <w:adjustRightInd w:val="0"/>
        <w:spacing w:line="360" w:lineRule="auto"/>
        <w:ind w:firstLine="482"/>
        <w:rPr>
          <w:rFonts w:hint="eastAsia" w:ascii="宋体" w:hAnsi="宋体" w:cs="宋体"/>
          <w:sz w:val="24"/>
          <w:szCs w:val="24"/>
        </w:rPr>
      </w:pPr>
      <w:r>
        <w:rPr>
          <w:rFonts w:hint="eastAsia" w:ascii="宋体" w:hAnsi="宋体" w:cs="宋体"/>
          <w:sz w:val="24"/>
          <w:szCs w:val="24"/>
        </w:rPr>
        <w:t>19.9.11 关于同一品牌产品的处理</w:t>
      </w:r>
    </w:p>
    <w:p w14:paraId="3E9B2823">
      <w:pPr>
        <w:autoSpaceDE w:val="0"/>
        <w:autoSpaceDN w:val="0"/>
        <w:adjustRightIn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1）采用最低评标价法的采购项目，提供相同品牌产品的不同供应商参加同一合同项下投标的，以其中通过资格审查、符合性审查且报价最低的参加评标；报价相同的，由采购人或者采购人委托评审委员会按照采购文件规定的方式确定一个参加评标的供应商，采购文件未规定的采取随机抽取方式确定，其他投标无效。 </w:t>
      </w:r>
    </w:p>
    <w:p w14:paraId="615FA679">
      <w:pPr>
        <w:autoSpaceDE w:val="0"/>
        <w:autoSpaceDN w:val="0"/>
        <w:adjustRightIn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2）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评审委员会按照采购文件规定的方式确定一个供应商获得中标供应商推荐资格，采购文件未规定的采取随机抽取方式确定，其他同品牌供应商不作为中标候选人。 </w:t>
      </w:r>
    </w:p>
    <w:p w14:paraId="2D824F0B">
      <w:pPr>
        <w:autoSpaceDE w:val="0"/>
        <w:autoSpaceDN w:val="0"/>
        <w:adjustRightInd w:val="0"/>
        <w:spacing w:line="360" w:lineRule="auto"/>
        <w:ind w:firstLine="482"/>
        <w:rPr>
          <w:rFonts w:hint="eastAsia" w:ascii="宋体" w:hAnsi="宋体" w:cs="宋体"/>
          <w:color w:val="000000"/>
          <w:sz w:val="24"/>
          <w:szCs w:val="24"/>
        </w:rPr>
      </w:pPr>
      <w:r>
        <w:rPr>
          <w:rFonts w:hint="eastAsia" w:ascii="宋体" w:hAnsi="宋体" w:cs="宋体"/>
          <w:color w:val="000000"/>
          <w:sz w:val="24"/>
          <w:szCs w:val="24"/>
        </w:rPr>
        <w:t>（3）非单一产品采购项目，采购人将根据采购项目技术构成、产品价格比重等因素确定核心产品，并在采购文件中载明。多家供应商提供的核心产品品牌相同的，按前两款规定处理。</w:t>
      </w:r>
    </w:p>
    <w:p w14:paraId="7B1F1FBA">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 xml:space="preserve">   </w:t>
      </w:r>
      <w:r>
        <w:rPr>
          <w:rFonts w:hint="eastAsia" w:ascii="宋体" w:hAnsi="宋体" w:cs="宋体"/>
          <w:b/>
          <w:bCs/>
          <w:color w:val="000000"/>
          <w:sz w:val="24"/>
          <w:szCs w:val="24"/>
          <w:lang w:val="zh-CN"/>
        </w:rPr>
        <w:t xml:space="preserve"> 接受细微偏离有利于采购成功，不应因细微偏离而废标。</w:t>
      </w:r>
    </w:p>
    <w:p w14:paraId="74110E64">
      <w:pPr>
        <w:autoSpaceDE w:val="0"/>
        <w:autoSpaceDN w:val="0"/>
        <w:adjustRightInd w:val="0"/>
        <w:spacing w:line="360" w:lineRule="auto"/>
        <w:ind w:firstLine="482"/>
        <w:rPr>
          <w:rFonts w:hint="eastAsia" w:ascii="宋体" w:hAnsi="宋体" w:cs="宋体"/>
          <w:color w:val="000000"/>
          <w:sz w:val="24"/>
          <w:szCs w:val="24"/>
        </w:rPr>
      </w:pPr>
      <w:r>
        <w:rPr>
          <w:rFonts w:hint="eastAsia" w:ascii="宋体" w:hAnsi="宋体" w:cs="宋体"/>
          <w:b/>
          <w:color w:val="000000"/>
          <w:sz w:val="24"/>
          <w:szCs w:val="24"/>
        </w:rPr>
        <w:t>20</w:t>
      </w:r>
      <w:r>
        <w:rPr>
          <w:rFonts w:hint="eastAsia" w:ascii="宋体" w:hAnsi="宋体" w:cs="宋体"/>
          <w:b/>
          <w:color w:val="000000"/>
          <w:sz w:val="24"/>
          <w:szCs w:val="24"/>
          <w:lang w:val="zh-CN"/>
        </w:rPr>
        <w:t>.</w:t>
      </w:r>
      <w:r>
        <w:rPr>
          <w:rFonts w:hint="eastAsia" w:ascii="宋体" w:hAnsi="宋体" w:cs="宋体"/>
          <w:color w:val="000000"/>
          <w:sz w:val="24"/>
          <w:szCs w:val="24"/>
          <w:lang w:val="zh-CN"/>
        </w:rPr>
        <w:t>首次招标</w:t>
      </w:r>
      <w:r>
        <w:rPr>
          <w:rFonts w:hint="eastAsia" w:ascii="宋体" w:hAnsi="宋体" w:cs="宋体"/>
          <w:color w:val="000000"/>
          <w:sz w:val="24"/>
          <w:szCs w:val="24"/>
        </w:rPr>
        <w:t>因评标过程中出现符合专业条件的投标人或者对招标文件作实质性响应的投标人不足三家情形而废标，重新招标。</w:t>
      </w:r>
    </w:p>
    <w:p w14:paraId="4D61FADA">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lang w:val="zh-CN"/>
        </w:rPr>
        <w:t>2</w:t>
      </w:r>
      <w:r>
        <w:rPr>
          <w:rFonts w:hint="eastAsia" w:ascii="宋体" w:hAnsi="宋体" w:cs="宋体"/>
          <w:b/>
          <w:color w:val="000000"/>
          <w:sz w:val="24"/>
          <w:szCs w:val="24"/>
        </w:rPr>
        <w:t>1</w:t>
      </w:r>
      <w:r>
        <w:rPr>
          <w:rFonts w:hint="eastAsia" w:ascii="宋体" w:hAnsi="宋体" w:cs="宋体"/>
          <w:b/>
          <w:color w:val="000000"/>
          <w:sz w:val="24"/>
          <w:szCs w:val="24"/>
          <w:lang w:val="zh-CN"/>
        </w:rPr>
        <w:t>. 评标方法和标准</w:t>
      </w:r>
    </w:p>
    <w:p w14:paraId="42E16605">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2</w:t>
      </w:r>
      <w:r>
        <w:rPr>
          <w:rFonts w:hint="eastAsia" w:ascii="宋体" w:hAnsi="宋体" w:cs="宋体"/>
          <w:color w:val="000000"/>
          <w:sz w:val="24"/>
          <w:szCs w:val="24"/>
        </w:rPr>
        <w:t>1</w:t>
      </w:r>
      <w:r>
        <w:rPr>
          <w:rFonts w:hint="eastAsia" w:ascii="宋体" w:hAnsi="宋体" w:cs="宋体"/>
          <w:color w:val="000000"/>
          <w:sz w:val="24"/>
          <w:szCs w:val="24"/>
          <w:lang w:val="zh-CN"/>
        </w:rPr>
        <w:t>.1 评标委员会按照招标文件第三章“评标办法”规定的方法、评审因素、标准和程序对投标文件进行评审。第三章“评标办法”没有规定的方法、评审因素和标准，不作为评标依据。</w:t>
      </w:r>
    </w:p>
    <w:p w14:paraId="5C13AC13">
      <w:pPr>
        <w:tabs>
          <w:tab w:val="left" w:pos="3675"/>
        </w:tabs>
        <w:autoSpaceDE w:val="0"/>
        <w:autoSpaceDN w:val="0"/>
        <w:adjustRightInd w:val="0"/>
        <w:spacing w:line="360" w:lineRule="auto"/>
        <w:ind w:firstLine="482"/>
        <w:rPr>
          <w:rFonts w:hint="eastAsia" w:ascii="宋体" w:hAnsi="宋体" w:cs="宋体"/>
          <w:color w:val="000000"/>
          <w:sz w:val="24"/>
          <w:szCs w:val="24"/>
          <w:lang w:val="zh-CN"/>
        </w:rPr>
      </w:pPr>
      <w:r>
        <w:rPr>
          <w:rFonts w:hint="eastAsia" w:ascii="宋体" w:hAnsi="宋体" w:cs="宋体"/>
          <w:b/>
          <w:color w:val="000000"/>
          <w:sz w:val="24"/>
          <w:szCs w:val="24"/>
          <w:lang w:val="zh-CN"/>
        </w:rPr>
        <w:t>2</w:t>
      </w:r>
      <w:r>
        <w:rPr>
          <w:rFonts w:hint="eastAsia" w:ascii="宋体" w:hAnsi="宋体" w:cs="宋体"/>
          <w:b/>
          <w:color w:val="000000"/>
          <w:sz w:val="24"/>
          <w:szCs w:val="24"/>
        </w:rPr>
        <w:t>1</w:t>
      </w:r>
      <w:r>
        <w:rPr>
          <w:rFonts w:hint="eastAsia" w:ascii="宋体" w:hAnsi="宋体" w:cs="宋体"/>
          <w:b/>
          <w:color w:val="000000"/>
          <w:sz w:val="24"/>
          <w:szCs w:val="24"/>
          <w:lang w:val="zh-CN"/>
        </w:rPr>
        <w:t>.2 本项目采用</w:t>
      </w:r>
      <w:r>
        <w:rPr>
          <w:rFonts w:hint="eastAsia" w:ascii="宋体" w:hAnsi="宋体" w:cs="宋体"/>
          <w:b/>
          <w:color w:val="000000"/>
          <w:sz w:val="24"/>
          <w:szCs w:val="24"/>
        </w:rPr>
        <w:t>综合评分法</w:t>
      </w:r>
      <w:r>
        <w:rPr>
          <w:rFonts w:hint="eastAsia" w:ascii="宋体" w:hAnsi="宋体" w:cs="宋体"/>
          <w:b/>
          <w:color w:val="000000"/>
          <w:sz w:val="24"/>
          <w:szCs w:val="24"/>
          <w:lang w:val="zh-CN"/>
        </w:rPr>
        <w:t>：</w:t>
      </w:r>
    </w:p>
    <w:p w14:paraId="79BD4212">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lang w:val="zh-CN"/>
        </w:rPr>
        <w:t>评标委员会将按下述标准评定中标人：</w:t>
      </w:r>
      <w:r>
        <w:rPr>
          <w:rFonts w:hint="eastAsia" w:ascii="宋体" w:hAnsi="宋体" w:cs="宋体"/>
          <w:color w:val="000000"/>
          <w:sz w:val="24"/>
          <w:szCs w:val="24"/>
          <w:shd w:val="clear" w:color="auto" w:fill="FFFFFF"/>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C9C9F54">
      <w:pPr>
        <w:autoSpaceDE w:val="0"/>
        <w:autoSpaceDN w:val="0"/>
        <w:adjustRightInd w:val="0"/>
        <w:spacing w:line="360" w:lineRule="auto"/>
        <w:ind w:firstLine="482"/>
        <w:rPr>
          <w:rFonts w:hint="eastAsia" w:ascii="宋体" w:hAnsi="宋体" w:cs="宋体"/>
          <w:b/>
          <w:color w:val="000000"/>
          <w:sz w:val="24"/>
          <w:szCs w:val="24"/>
          <w:lang w:val="zh-CN"/>
        </w:rPr>
      </w:pPr>
      <w:r>
        <w:rPr>
          <w:rFonts w:hint="eastAsia" w:ascii="宋体" w:hAnsi="宋体" w:cs="宋体"/>
          <w:b/>
          <w:color w:val="000000"/>
          <w:sz w:val="24"/>
          <w:szCs w:val="24"/>
          <w:lang w:val="zh-CN"/>
        </w:rPr>
        <w:t>2</w:t>
      </w:r>
      <w:r>
        <w:rPr>
          <w:rFonts w:hint="eastAsia" w:ascii="宋体" w:hAnsi="宋体" w:cs="宋体"/>
          <w:b/>
          <w:color w:val="000000"/>
          <w:sz w:val="24"/>
          <w:szCs w:val="24"/>
        </w:rPr>
        <w:t>2</w:t>
      </w:r>
      <w:r>
        <w:rPr>
          <w:rFonts w:hint="eastAsia" w:ascii="宋体" w:hAnsi="宋体" w:cs="宋体"/>
          <w:b/>
          <w:color w:val="000000"/>
          <w:sz w:val="24"/>
          <w:szCs w:val="24"/>
          <w:lang w:val="zh-CN"/>
        </w:rPr>
        <w:t>. 签订合同</w:t>
      </w:r>
    </w:p>
    <w:p w14:paraId="4F993DD8">
      <w:pPr>
        <w:autoSpaceDE w:val="0"/>
        <w:autoSpaceDN w:val="0"/>
        <w:adjustRightInd w:val="0"/>
        <w:spacing w:line="360" w:lineRule="auto"/>
        <w:ind w:firstLine="482"/>
        <w:rPr>
          <w:rFonts w:hint="eastAsia" w:ascii="宋体" w:hAnsi="宋体" w:cs="宋体"/>
          <w:color w:val="000000"/>
          <w:sz w:val="24"/>
          <w:szCs w:val="24"/>
          <w:lang w:val="zh-CN"/>
        </w:rPr>
      </w:pPr>
      <w:r>
        <w:rPr>
          <w:rFonts w:hint="eastAsia" w:ascii="宋体" w:hAnsi="宋体" w:cs="宋体"/>
          <w:color w:val="000000"/>
          <w:sz w:val="24"/>
          <w:szCs w:val="24"/>
          <w:lang w:val="zh-CN"/>
        </w:rPr>
        <w:t>2</w:t>
      </w:r>
      <w:r>
        <w:rPr>
          <w:rFonts w:hint="eastAsia" w:ascii="宋体" w:hAnsi="宋体" w:cs="宋体"/>
          <w:color w:val="000000"/>
          <w:sz w:val="24"/>
          <w:szCs w:val="24"/>
        </w:rPr>
        <w:t>2</w:t>
      </w:r>
      <w:r>
        <w:rPr>
          <w:rFonts w:hint="eastAsia" w:ascii="宋体" w:hAnsi="宋体" w:cs="宋体"/>
          <w:color w:val="000000"/>
          <w:sz w:val="24"/>
          <w:szCs w:val="24"/>
          <w:lang w:val="zh-CN"/>
        </w:rPr>
        <w:t>.1采购人将在投标有效期期满之前向中标人发出《中标通知书》。中标通知书是合同的组成部分，对采购人和中标人均具有法律约束力。</w:t>
      </w:r>
    </w:p>
    <w:p w14:paraId="44E669B3">
      <w:pPr>
        <w:autoSpaceDE w:val="0"/>
        <w:autoSpaceDN w:val="0"/>
        <w:adjustRightInd w:val="0"/>
        <w:spacing w:line="360" w:lineRule="auto"/>
        <w:ind w:firstLine="482"/>
        <w:rPr>
          <w:rFonts w:hint="eastAsia" w:ascii="宋体" w:hAnsi="宋体" w:cs="宋体"/>
          <w:color w:val="000000"/>
          <w:sz w:val="24"/>
          <w:szCs w:val="24"/>
          <w:lang w:val="zh-CN"/>
        </w:rPr>
      </w:pPr>
      <w:r>
        <w:rPr>
          <w:rFonts w:hint="eastAsia" w:ascii="宋体" w:hAnsi="宋体" w:cs="宋体"/>
          <w:color w:val="000000"/>
          <w:sz w:val="24"/>
          <w:szCs w:val="24"/>
          <w:lang w:val="zh-CN"/>
        </w:rPr>
        <w:t>2</w:t>
      </w:r>
      <w:r>
        <w:rPr>
          <w:rFonts w:hint="eastAsia" w:ascii="宋体" w:hAnsi="宋体" w:cs="宋体"/>
          <w:color w:val="000000"/>
          <w:sz w:val="24"/>
          <w:szCs w:val="24"/>
        </w:rPr>
        <w:t>2</w:t>
      </w:r>
      <w:r>
        <w:rPr>
          <w:rFonts w:hint="eastAsia" w:ascii="宋体" w:hAnsi="宋体" w:cs="宋体"/>
          <w:color w:val="000000"/>
          <w:sz w:val="24"/>
          <w:szCs w:val="24"/>
          <w:lang w:val="zh-CN"/>
        </w:rPr>
        <w:t>.2中标通知书发出后，采购人改变中标结果的，或者中标人放弃中标项目的，应当依法承担法律责任。</w:t>
      </w:r>
    </w:p>
    <w:p w14:paraId="5671D6E3">
      <w:pPr>
        <w:autoSpaceDE w:val="0"/>
        <w:autoSpaceDN w:val="0"/>
        <w:adjustRightInd w:val="0"/>
        <w:spacing w:line="360" w:lineRule="auto"/>
        <w:ind w:firstLine="482"/>
        <w:rPr>
          <w:rFonts w:hint="eastAsia" w:ascii="宋体" w:hAnsi="宋体" w:cs="宋体"/>
          <w:color w:val="000000"/>
          <w:sz w:val="24"/>
          <w:szCs w:val="24"/>
          <w:lang w:val="zh-CN"/>
        </w:rPr>
      </w:pPr>
      <w:r>
        <w:rPr>
          <w:rFonts w:hint="eastAsia" w:ascii="宋体" w:hAnsi="宋体" w:cs="宋体"/>
          <w:color w:val="000000"/>
          <w:sz w:val="24"/>
          <w:szCs w:val="24"/>
          <w:lang w:val="zh-CN"/>
        </w:rPr>
        <w:t>2</w:t>
      </w:r>
      <w:r>
        <w:rPr>
          <w:rFonts w:hint="eastAsia" w:ascii="宋体" w:hAnsi="宋体" w:cs="宋体"/>
          <w:color w:val="000000"/>
          <w:sz w:val="24"/>
          <w:szCs w:val="24"/>
        </w:rPr>
        <w:t>2</w:t>
      </w:r>
      <w:r>
        <w:rPr>
          <w:rFonts w:hint="eastAsia" w:ascii="宋体" w:hAnsi="宋体" w:cs="宋体"/>
          <w:color w:val="000000"/>
          <w:sz w:val="24"/>
          <w:szCs w:val="24"/>
          <w:lang w:val="zh-CN"/>
        </w:rPr>
        <w:t>.3中标人应按中标通知书规定的时间与采购人签订合同。如果中标人不在规定的时间内签署合同，视为自动放弃中标资格，其提交的投标保证金不予退还，列入不良行为记录名单，在一至三年内禁止参加政府采购活动并予以公告。投标人在被评标委员会评定为预中标人（中标人）之后、中标通知书发出之前放弃中标的，按本条规定处理。</w:t>
      </w:r>
    </w:p>
    <w:p w14:paraId="684D9AA7">
      <w:pPr>
        <w:autoSpaceDE w:val="0"/>
        <w:autoSpaceDN w:val="0"/>
        <w:adjustRightInd w:val="0"/>
        <w:spacing w:line="360" w:lineRule="auto"/>
        <w:ind w:firstLine="480"/>
        <w:rPr>
          <w:rFonts w:hint="eastAsia" w:ascii="宋体" w:hAnsi="宋体" w:cs="宋体"/>
          <w:color w:val="000000"/>
          <w:sz w:val="24"/>
          <w:szCs w:val="24"/>
          <w:lang w:val="zh-CN"/>
        </w:rPr>
      </w:pPr>
      <w:r>
        <w:rPr>
          <w:rFonts w:hint="eastAsia" w:ascii="宋体" w:hAnsi="宋体" w:cs="宋体"/>
          <w:color w:val="000000"/>
          <w:sz w:val="24"/>
          <w:szCs w:val="24"/>
          <w:lang w:val="zh-CN"/>
        </w:rPr>
        <w:t>2</w:t>
      </w:r>
      <w:r>
        <w:rPr>
          <w:rFonts w:hint="eastAsia" w:ascii="宋体" w:hAnsi="宋体" w:cs="宋体"/>
          <w:color w:val="000000"/>
          <w:sz w:val="24"/>
          <w:szCs w:val="24"/>
        </w:rPr>
        <w:t>2</w:t>
      </w:r>
      <w:r>
        <w:rPr>
          <w:rFonts w:hint="eastAsia" w:ascii="宋体" w:hAnsi="宋体" w:cs="宋体"/>
          <w:color w:val="000000"/>
          <w:sz w:val="24"/>
          <w:szCs w:val="24"/>
          <w:lang w:val="zh-CN"/>
        </w:rPr>
        <w:t>.4中标结果将在发布招标公告的媒体上公告，不再以书面方式通知未中标人。</w:t>
      </w:r>
    </w:p>
    <w:p w14:paraId="0432F0DB">
      <w:pPr>
        <w:autoSpaceDE w:val="0"/>
        <w:autoSpaceDN w:val="0"/>
        <w:adjustRightInd w:val="0"/>
        <w:spacing w:line="360" w:lineRule="auto"/>
        <w:ind w:firstLine="480"/>
        <w:rPr>
          <w:rFonts w:hint="eastAsia" w:ascii="宋体" w:hAnsi="宋体" w:cs="宋体"/>
          <w:sz w:val="24"/>
          <w:szCs w:val="24"/>
        </w:rPr>
      </w:pPr>
      <w:r>
        <w:rPr>
          <w:rFonts w:hint="eastAsia" w:ascii="宋体" w:hAnsi="宋体" w:cs="宋体"/>
          <w:color w:val="000000"/>
          <w:sz w:val="24"/>
          <w:szCs w:val="24"/>
          <w:lang w:val="zh-CN"/>
        </w:rPr>
        <w:t>2</w:t>
      </w:r>
      <w:r>
        <w:rPr>
          <w:rFonts w:hint="eastAsia" w:ascii="宋体" w:hAnsi="宋体" w:cs="宋体"/>
          <w:color w:val="000000"/>
          <w:sz w:val="24"/>
          <w:szCs w:val="24"/>
        </w:rPr>
        <w:t>2</w:t>
      </w:r>
      <w:r>
        <w:rPr>
          <w:rFonts w:hint="eastAsia" w:ascii="宋体" w:hAnsi="宋体" w:cs="宋体"/>
          <w:color w:val="000000"/>
          <w:sz w:val="24"/>
          <w:szCs w:val="24"/>
          <w:lang w:val="zh-CN"/>
        </w:rPr>
        <w:t>.</w:t>
      </w:r>
      <w:r>
        <w:rPr>
          <w:rFonts w:hint="eastAsia" w:ascii="宋体" w:hAnsi="宋体" w:cs="宋体"/>
          <w:color w:val="000000"/>
          <w:sz w:val="24"/>
          <w:szCs w:val="24"/>
        </w:rPr>
        <w:t>5</w:t>
      </w:r>
      <w:r>
        <w:rPr>
          <w:rFonts w:hint="eastAsia" w:ascii="宋体" w:hAnsi="宋体" w:cs="宋体"/>
          <w:sz w:val="24"/>
          <w:szCs w:val="24"/>
        </w:rPr>
        <w:t>采购人应当自政府采购合同签订之日起 2 个工作日内，对合同进行公示，但政府采购合同中涉及国家秘密、商业秘密的内容除外。</w:t>
      </w:r>
    </w:p>
    <w:p w14:paraId="314EC286">
      <w:pPr>
        <w:autoSpaceDE w:val="0"/>
        <w:autoSpaceDN w:val="0"/>
        <w:adjustRightInd w:val="0"/>
        <w:spacing w:line="360" w:lineRule="auto"/>
        <w:ind w:firstLine="482" w:firstLineChars="200"/>
        <w:rPr>
          <w:rFonts w:hint="eastAsia" w:ascii="宋体" w:hAnsi="宋体" w:cs="宋体"/>
          <w:bCs/>
          <w:sz w:val="24"/>
          <w:szCs w:val="24"/>
          <w:lang w:val="zh-CN"/>
        </w:rPr>
      </w:pPr>
      <w:r>
        <w:rPr>
          <w:rFonts w:hint="eastAsia" w:ascii="宋体" w:hAnsi="宋体" w:cs="宋体"/>
          <w:b/>
          <w:color w:val="000000"/>
          <w:sz w:val="24"/>
          <w:szCs w:val="24"/>
        </w:rPr>
        <w:t>23.</w:t>
      </w:r>
      <w:r>
        <w:rPr>
          <w:rFonts w:hint="eastAsia" w:ascii="宋体" w:hAnsi="宋体" w:cs="宋体"/>
          <w:b/>
          <w:color w:val="000000"/>
          <w:sz w:val="24"/>
          <w:szCs w:val="24"/>
          <w:lang w:val="zh-CN"/>
        </w:rPr>
        <w:t>履约保证金</w:t>
      </w:r>
    </w:p>
    <w:p w14:paraId="358954AA">
      <w:pPr>
        <w:autoSpaceDE w:val="0"/>
        <w:autoSpaceDN w:val="0"/>
        <w:adjustRightInd w:val="0"/>
        <w:spacing w:line="360" w:lineRule="auto"/>
        <w:ind w:firstLine="480" w:firstLineChars="200"/>
        <w:rPr>
          <w:rFonts w:hint="eastAsia" w:ascii="宋体" w:hAnsi="宋体" w:cs="宋体"/>
          <w:sz w:val="24"/>
          <w:szCs w:val="24"/>
          <w:shd w:val="clear" w:color="auto" w:fill="FFFFFF"/>
        </w:rPr>
      </w:pPr>
      <w:r>
        <w:rPr>
          <w:rFonts w:hint="eastAsia" w:ascii="宋体" w:hAnsi="宋体" w:cs="宋体"/>
          <w:bCs/>
          <w:sz w:val="24"/>
          <w:szCs w:val="24"/>
          <w:lang w:val="zh-CN"/>
        </w:rPr>
        <w:t>履约保证金：中标人与采购人签订采购合同时需向采购人交付合同总价款5%的履约保证金，采购人根据采购合同约定，待中标人履行完合同约定权利义务事项后退还。</w:t>
      </w:r>
    </w:p>
    <w:p w14:paraId="7081CA42">
      <w:pPr>
        <w:autoSpaceDE w:val="0"/>
        <w:autoSpaceDN w:val="0"/>
        <w:adjustRightInd w:val="0"/>
        <w:spacing w:line="360" w:lineRule="auto"/>
        <w:ind w:firstLine="482" w:firstLineChars="200"/>
        <w:rPr>
          <w:rFonts w:hint="eastAsia" w:ascii="宋体" w:hAnsi="宋体" w:cs="宋体"/>
          <w:b/>
          <w:color w:val="000000"/>
          <w:kern w:val="0"/>
          <w:sz w:val="24"/>
          <w:szCs w:val="24"/>
          <w:lang w:val="zh-CN"/>
        </w:rPr>
      </w:pPr>
      <w:r>
        <w:rPr>
          <w:rFonts w:hint="eastAsia" w:ascii="宋体" w:hAnsi="宋体" w:cs="宋体"/>
          <w:b/>
          <w:color w:val="000000"/>
          <w:kern w:val="0"/>
          <w:sz w:val="24"/>
          <w:szCs w:val="24"/>
        </w:rPr>
        <w:t>24.</w:t>
      </w:r>
      <w:r>
        <w:rPr>
          <w:rFonts w:hint="eastAsia" w:ascii="宋体" w:hAnsi="宋体" w:cs="宋体"/>
          <w:b/>
          <w:color w:val="000000"/>
          <w:kern w:val="0"/>
          <w:sz w:val="24"/>
          <w:szCs w:val="24"/>
          <w:lang w:val="zh-CN"/>
        </w:rPr>
        <w:t>保密和披露</w:t>
      </w:r>
    </w:p>
    <w:p w14:paraId="3E393146">
      <w:pPr>
        <w:tabs>
          <w:tab w:val="left" w:pos="709"/>
        </w:tabs>
        <w:autoSpaceDE w:val="0"/>
        <w:autoSpaceDN w:val="0"/>
        <w:adjustRightInd w:val="0"/>
        <w:spacing w:line="360" w:lineRule="auto"/>
        <w:ind w:firstLine="482"/>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2</w:t>
      </w:r>
      <w:r>
        <w:rPr>
          <w:rFonts w:hint="eastAsia" w:ascii="宋体" w:hAnsi="宋体" w:cs="宋体"/>
          <w:color w:val="000000"/>
          <w:kern w:val="0"/>
          <w:sz w:val="24"/>
          <w:szCs w:val="24"/>
        </w:rPr>
        <w:t>4</w:t>
      </w:r>
      <w:r>
        <w:rPr>
          <w:rFonts w:hint="eastAsia" w:ascii="宋体" w:hAnsi="宋体" w:cs="宋体"/>
          <w:color w:val="000000"/>
          <w:kern w:val="0"/>
          <w:sz w:val="24"/>
          <w:szCs w:val="24"/>
          <w:lang w:val="zh-CN"/>
        </w:rPr>
        <w:t>.1</w:t>
      </w:r>
      <w:r>
        <w:rPr>
          <w:rFonts w:hint="eastAsia" w:ascii="宋体" w:hAnsi="宋体" w:cs="宋体"/>
          <w:color w:val="000000"/>
          <w:sz w:val="24"/>
          <w:szCs w:val="24"/>
          <w:lang w:val="zh-CN"/>
        </w:rPr>
        <w:t>采购人有权将投标人提供的所有资料向其他政府部门或有关的非政府机构负责评审标书的人员或与评标有关的人员披露。</w:t>
      </w:r>
    </w:p>
    <w:p w14:paraId="33242877">
      <w:pPr>
        <w:autoSpaceDE w:val="0"/>
        <w:autoSpaceDN w:val="0"/>
        <w:adjustRightInd w:val="0"/>
        <w:spacing w:line="360" w:lineRule="auto"/>
        <w:ind w:firstLine="476"/>
        <w:rPr>
          <w:rFonts w:hint="eastAsia" w:ascii="宋体" w:hAnsi="宋体" w:cs="宋体"/>
          <w:color w:val="000000"/>
          <w:sz w:val="24"/>
          <w:szCs w:val="24"/>
          <w:lang w:val="zh-CN"/>
        </w:rPr>
      </w:pPr>
      <w:r>
        <w:rPr>
          <w:rFonts w:hint="eastAsia" w:ascii="宋体" w:hAnsi="宋体" w:cs="宋体"/>
          <w:color w:val="000000"/>
          <w:sz w:val="24"/>
          <w:szCs w:val="24"/>
          <w:lang w:val="zh-CN"/>
        </w:rPr>
        <w:t>2</w:t>
      </w:r>
      <w:r>
        <w:rPr>
          <w:rFonts w:hint="eastAsia" w:ascii="宋体" w:hAnsi="宋体" w:cs="宋体"/>
          <w:color w:val="000000"/>
          <w:sz w:val="24"/>
          <w:szCs w:val="24"/>
        </w:rPr>
        <w:t>4</w:t>
      </w:r>
      <w:r>
        <w:rPr>
          <w:rFonts w:hint="eastAsia" w:ascii="宋体" w:hAnsi="宋体" w:cs="宋体"/>
          <w:color w:val="000000"/>
          <w:sz w:val="24"/>
          <w:szCs w:val="24"/>
          <w:lang w:val="zh-CN"/>
        </w:rPr>
        <w:t>.2在下列情形下：当发布中标公告和其它公告时，当国家机关调查、审查、审计时，以及在其他符合法律规定的情形下，采购人无须事先征求投标人/中标人同意而可以披露关于采购过程、投标文件、合同文本、合同签署情况的资料、投标人/中标人的名称及地址、采购内容的有关信息以及补充条款等，并且对任何已经公布过的内容或与之内容相同的资料无须再承担保密责任。</w:t>
      </w:r>
    </w:p>
    <w:p w14:paraId="0D313580">
      <w:pPr>
        <w:pStyle w:val="7"/>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24.3投标人自下载招标文件之日起，须承诺承担本招标项目下的保密义务，不得将因本次招标获得的信息向第三人外传。</w:t>
      </w:r>
    </w:p>
    <w:p w14:paraId="33DE21EE">
      <w:pPr>
        <w:autoSpaceDE w:val="0"/>
        <w:autoSpaceDN w:val="0"/>
        <w:adjustRightInd w:val="0"/>
        <w:spacing w:line="360" w:lineRule="auto"/>
        <w:ind w:firstLine="482" w:firstLineChars="200"/>
        <w:rPr>
          <w:rFonts w:hint="eastAsia" w:ascii="宋体" w:hAnsi="宋体" w:cs="宋体"/>
          <w:b/>
          <w:color w:val="000000"/>
          <w:kern w:val="0"/>
          <w:sz w:val="24"/>
          <w:szCs w:val="24"/>
        </w:rPr>
      </w:pPr>
      <w:r>
        <w:rPr>
          <w:rFonts w:hint="eastAsia" w:ascii="宋体" w:hAnsi="宋体" w:cs="宋体"/>
          <w:b/>
          <w:color w:val="000000"/>
          <w:kern w:val="0"/>
          <w:sz w:val="24"/>
          <w:szCs w:val="24"/>
        </w:rPr>
        <w:t xml:space="preserve">25.询问与质疑 </w:t>
      </w:r>
    </w:p>
    <w:p w14:paraId="6BC8644D">
      <w:pPr>
        <w:pStyle w:val="7"/>
        <w:spacing w:line="360" w:lineRule="auto"/>
        <w:ind w:firstLine="480" w:firstLineChars="200"/>
        <w:rPr>
          <w:rFonts w:hint="eastAsia" w:ascii="宋体" w:hAnsi="宋体" w:cs="宋体"/>
          <w:color w:val="000000"/>
          <w:sz w:val="24"/>
          <w:szCs w:val="24"/>
        </w:rPr>
      </w:pPr>
      <w:bookmarkStart w:id="14" w:name="_Toc13413"/>
      <w:r>
        <w:rPr>
          <w:rFonts w:hint="eastAsia" w:ascii="宋体" w:hAnsi="宋体" w:cs="宋体"/>
          <w:color w:val="000000"/>
          <w:sz w:val="24"/>
          <w:szCs w:val="24"/>
        </w:rPr>
        <w:t xml:space="preserve">25.1 询问 </w:t>
      </w:r>
    </w:p>
    <w:p w14:paraId="01BCCAB3">
      <w:pPr>
        <w:pStyle w:val="7"/>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25.1.1 投标人对政府采购活动事项有疑问的，可依法提出询问，并按《投标人须知资料表》载明的形式送达采购人或采购代理机构。 </w:t>
      </w:r>
    </w:p>
    <w:p w14:paraId="42B8D7B8">
      <w:pPr>
        <w:pStyle w:val="7"/>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25.1.2 采购人或采购代理机构对供应商依法提出的询问，在 3 个工作日内作出答复，但答复的内容不得涉及商业秘密。 </w:t>
      </w:r>
    </w:p>
    <w:p w14:paraId="48388B82">
      <w:pPr>
        <w:pStyle w:val="7"/>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25.2 质疑 </w:t>
      </w:r>
    </w:p>
    <w:p w14:paraId="3C4CC6A7">
      <w:pPr>
        <w:pStyle w:val="7"/>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25.2.1 投标人认为采购文件、采购过程、中标结果使自己的权益受到损害的，可以在知道或者应知其权益受到损害之日起 7 个工作日内，以书面形式向采购人、采购代理机构提出质疑。采购人、采购代理机构在收到质疑函后 7 个工作日内作出答复。 </w:t>
      </w:r>
    </w:p>
    <w:p w14:paraId="686DD8FF">
      <w:pPr>
        <w:pStyle w:val="7"/>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25.2.2 质疑函须使用财政部制定的范本文件。投标人为自然人的，质疑函应当由本人签字；投标人为法人或者其他组织的，质疑函应当由法定代表人、主要负责人，或者其授权代表签字或者盖章，并加盖公章。 </w:t>
      </w:r>
    </w:p>
    <w:p w14:paraId="592A90CB">
      <w:pPr>
        <w:pStyle w:val="7"/>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25.2.3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 </w:t>
      </w:r>
    </w:p>
    <w:p w14:paraId="510193A3">
      <w:pPr>
        <w:pStyle w:val="7"/>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 xml:space="preserve">25.2.4 投标人应在法定质疑期内一次性提出针对同一采购程序环节的质疑， 法定质疑期内针对同一采购程序环节再次提出的质疑，采购人、采购代理机构有权不予答复。 </w:t>
      </w:r>
    </w:p>
    <w:p w14:paraId="4489B087">
      <w:pPr>
        <w:pStyle w:val="7"/>
        <w:spacing w:line="360" w:lineRule="auto"/>
        <w:ind w:firstLine="480" w:firstLineChars="200"/>
        <w:rPr>
          <w:rFonts w:hint="eastAsia" w:ascii="宋体" w:hAnsi="宋体" w:cs="宋体"/>
          <w:sz w:val="24"/>
          <w:szCs w:val="24"/>
        </w:rPr>
      </w:pPr>
      <w:r>
        <w:rPr>
          <w:rFonts w:hint="eastAsia" w:ascii="宋体" w:hAnsi="宋体" w:cs="宋体"/>
          <w:color w:val="000000"/>
          <w:sz w:val="24"/>
          <w:szCs w:val="24"/>
        </w:rPr>
        <w:t>25.3 接收询问和质疑的联系部门、联系电话和通讯地址见《投标人须知资料表》。</w:t>
      </w:r>
    </w:p>
    <w:p w14:paraId="7145FC7D">
      <w:pPr>
        <w:pStyle w:val="7"/>
        <w:rPr>
          <w:rFonts w:hint="eastAsia" w:ascii="宋体" w:hAnsi="宋体" w:cs="宋体"/>
          <w:sz w:val="24"/>
          <w:szCs w:val="24"/>
        </w:rPr>
      </w:pPr>
    </w:p>
    <w:p w14:paraId="24F43243">
      <w:pPr>
        <w:pStyle w:val="16"/>
        <w:rPr>
          <w:rFonts w:hint="eastAsia" w:ascii="宋体" w:hAnsi="宋体" w:cs="宋体"/>
          <w:sz w:val="24"/>
          <w:lang w:eastAsia="zh-CN"/>
        </w:rPr>
      </w:pPr>
    </w:p>
    <w:p w14:paraId="4738E8B7">
      <w:pPr>
        <w:pStyle w:val="16"/>
        <w:rPr>
          <w:rFonts w:hint="eastAsia" w:ascii="宋体" w:hAnsi="宋体" w:cs="宋体"/>
          <w:sz w:val="24"/>
          <w:lang w:eastAsia="zh-CN"/>
        </w:rPr>
      </w:pPr>
    </w:p>
    <w:p w14:paraId="6D448D0B">
      <w:pPr>
        <w:pStyle w:val="16"/>
        <w:rPr>
          <w:rFonts w:hint="eastAsia" w:ascii="宋体" w:hAnsi="宋体" w:cs="宋体"/>
          <w:sz w:val="24"/>
          <w:lang w:eastAsia="zh-CN"/>
        </w:rPr>
      </w:pPr>
    </w:p>
    <w:p w14:paraId="79E3D3A8">
      <w:pPr>
        <w:pStyle w:val="16"/>
        <w:rPr>
          <w:rFonts w:hint="eastAsia" w:ascii="宋体" w:hAnsi="宋体" w:cs="宋体"/>
          <w:sz w:val="24"/>
          <w:lang w:eastAsia="zh-CN"/>
        </w:rPr>
      </w:pPr>
    </w:p>
    <w:p w14:paraId="343BCD31">
      <w:pPr>
        <w:pStyle w:val="16"/>
        <w:rPr>
          <w:rFonts w:hint="eastAsia" w:ascii="宋体" w:hAnsi="宋体" w:cs="宋体"/>
          <w:sz w:val="24"/>
          <w:lang w:eastAsia="zh-CN"/>
        </w:rPr>
      </w:pPr>
    </w:p>
    <w:p w14:paraId="753B9FB3">
      <w:pPr>
        <w:pStyle w:val="16"/>
        <w:rPr>
          <w:rFonts w:hint="eastAsia" w:ascii="宋体" w:hAnsi="宋体" w:cs="宋体"/>
          <w:sz w:val="24"/>
          <w:lang w:eastAsia="zh-CN"/>
        </w:rPr>
      </w:pPr>
    </w:p>
    <w:p w14:paraId="0B6A7A23">
      <w:pPr>
        <w:pStyle w:val="16"/>
        <w:rPr>
          <w:rFonts w:hint="eastAsia" w:ascii="宋体" w:hAnsi="宋体" w:cs="宋体"/>
          <w:sz w:val="24"/>
          <w:lang w:eastAsia="zh-CN"/>
        </w:rPr>
      </w:pPr>
    </w:p>
    <w:p w14:paraId="0EDC379B">
      <w:pPr>
        <w:pStyle w:val="16"/>
        <w:rPr>
          <w:rFonts w:hint="eastAsia" w:ascii="宋体" w:hAnsi="宋体" w:cs="宋体"/>
          <w:sz w:val="24"/>
          <w:lang w:eastAsia="zh-CN"/>
        </w:rPr>
      </w:pPr>
    </w:p>
    <w:p w14:paraId="314DF333">
      <w:pPr>
        <w:pStyle w:val="16"/>
        <w:rPr>
          <w:rFonts w:hint="eastAsia" w:ascii="宋体" w:hAnsi="宋体" w:cs="宋体"/>
          <w:sz w:val="24"/>
          <w:lang w:eastAsia="zh-CN"/>
        </w:rPr>
      </w:pPr>
    </w:p>
    <w:p w14:paraId="1677C6B8">
      <w:pPr>
        <w:pStyle w:val="16"/>
        <w:rPr>
          <w:rFonts w:hint="eastAsia" w:ascii="宋体" w:hAnsi="宋体" w:cs="宋体"/>
          <w:sz w:val="24"/>
          <w:lang w:eastAsia="zh-CN"/>
        </w:rPr>
      </w:pPr>
    </w:p>
    <w:p w14:paraId="0C0F367F">
      <w:pPr>
        <w:pStyle w:val="16"/>
        <w:rPr>
          <w:rFonts w:hint="eastAsia" w:ascii="宋体" w:hAnsi="宋体" w:cs="宋体"/>
          <w:sz w:val="24"/>
          <w:lang w:eastAsia="zh-CN"/>
        </w:rPr>
      </w:pPr>
    </w:p>
    <w:p w14:paraId="3EAA5BB6">
      <w:pPr>
        <w:pStyle w:val="16"/>
        <w:rPr>
          <w:rFonts w:hint="eastAsia" w:ascii="宋体" w:hAnsi="宋体" w:cs="宋体"/>
          <w:sz w:val="24"/>
          <w:lang w:eastAsia="zh-CN"/>
        </w:rPr>
      </w:pPr>
    </w:p>
    <w:p w14:paraId="288D2A16">
      <w:pPr>
        <w:pStyle w:val="16"/>
        <w:rPr>
          <w:rFonts w:hint="eastAsia" w:ascii="宋体" w:hAnsi="宋体" w:cs="宋体"/>
          <w:sz w:val="24"/>
          <w:lang w:eastAsia="zh-CN"/>
        </w:rPr>
      </w:pPr>
    </w:p>
    <w:p w14:paraId="4A946715">
      <w:pPr>
        <w:pStyle w:val="2"/>
        <w:rPr>
          <w:sz w:val="32"/>
          <w:szCs w:val="32"/>
        </w:rPr>
      </w:pPr>
      <w:bookmarkStart w:id="15" w:name="_Toc22101"/>
      <w:r>
        <w:rPr>
          <w:rFonts w:hint="eastAsia"/>
          <w:sz w:val="32"/>
          <w:szCs w:val="32"/>
        </w:rPr>
        <w:t>第三章  评标标准和方法</w:t>
      </w:r>
      <w:bookmarkEnd w:id="14"/>
      <w:bookmarkEnd w:id="15"/>
    </w:p>
    <w:p w14:paraId="3A436958">
      <w:pPr>
        <w:ind w:firstLine="480" w:firstLineChars="200"/>
        <w:rPr>
          <w:rFonts w:hint="eastAsia" w:ascii="宋体" w:hAnsi="宋体" w:cs="宋体"/>
          <w:color w:val="000000"/>
          <w:sz w:val="24"/>
          <w:szCs w:val="24"/>
          <w:lang w:val="zh-CN"/>
        </w:rPr>
      </w:pPr>
    </w:p>
    <w:p w14:paraId="472D3135">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根据《中华人民共和国政府采购法》、《政府采购货物和服务招标投标管理办法》及政府采购其它相关法规，结合采购项目特点，制定本评标办法。</w:t>
      </w:r>
    </w:p>
    <w:p w14:paraId="2BC588BC">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一、评标方法</w:t>
      </w:r>
    </w:p>
    <w:p w14:paraId="541B5CE7">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本次评标采用综合评</w:t>
      </w:r>
      <w:r>
        <w:rPr>
          <w:rFonts w:hint="eastAsia" w:ascii="宋体" w:hAnsi="宋体" w:cs="宋体"/>
          <w:color w:val="000000"/>
          <w:sz w:val="24"/>
          <w:szCs w:val="24"/>
        </w:rPr>
        <w:t>分</w:t>
      </w:r>
      <w:r>
        <w:rPr>
          <w:rFonts w:hint="eastAsia" w:ascii="宋体" w:hAnsi="宋体" w:cs="宋体"/>
          <w:color w:val="000000"/>
          <w:sz w:val="24"/>
          <w:szCs w:val="24"/>
          <w:lang w:val="zh-CN"/>
        </w:rPr>
        <w:t>法，即在最大限度地满足招标文件实质性要求前提下，按照招标文件中规定的各项因素和相应的权重分值进行综合评审后，以总得分最高的投标人作为中标候选人并依次排序 (最低投标报价不是中标的唯一标准)。</w:t>
      </w:r>
    </w:p>
    <w:p w14:paraId="38C7E422">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二、评标程序</w:t>
      </w:r>
    </w:p>
    <w:p w14:paraId="6787BA80">
      <w:pPr>
        <w:spacing w:line="360" w:lineRule="auto"/>
        <w:ind w:firstLine="482" w:firstLineChars="200"/>
        <w:rPr>
          <w:rFonts w:hint="eastAsia" w:ascii="宋体" w:hAnsi="宋体" w:cs="宋体"/>
          <w:b/>
          <w:bCs/>
          <w:color w:val="000000"/>
          <w:sz w:val="24"/>
          <w:szCs w:val="24"/>
          <w:lang w:val="zh-CN"/>
        </w:rPr>
      </w:pPr>
      <w:r>
        <w:rPr>
          <w:rFonts w:hint="eastAsia" w:ascii="宋体" w:hAnsi="宋体" w:cs="宋体"/>
          <w:b/>
          <w:bCs/>
          <w:color w:val="000000"/>
          <w:sz w:val="24"/>
          <w:szCs w:val="24"/>
          <w:lang w:val="zh-CN"/>
        </w:rPr>
        <w:t>1、资格性审查表</w:t>
      </w:r>
    </w:p>
    <w:p w14:paraId="5D0AABA5">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lang w:val="zh-CN"/>
        </w:rPr>
        <w:t>由</w:t>
      </w:r>
      <w:r>
        <w:rPr>
          <w:rFonts w:hint="eastAsia" w:ascii="宋体" w:hAnsi="宋体" w:cs="宋体"/>
          <w:bCs/>
          <w:color w:val="000000"/>
          <w:sz w:val="24"/>
          <w:szCs w:val="24"/>
          <w:lang w:val="zh-CN"/>
        </w:rPr>
        <w:t>采购人或者采购代理机构</w:t>
      </w:r>
      <w:r>
        <w:rPr>
          <w:rFonts w:hint="eastAsia" w:ascii="宋体" w:hAnsi="宋体" w:cs="宋体"/>
          <w:color w:val="000000"/>
          <w:sz w:val="24"/>
          <w:szCs w:val="24"/>
          <w:lang w:val="zh-CN"/>
        </w:rPr>
        <w:t>负责资格审查工作，将按下表所列举的审查标准对投标人基本资格条件进行审查，投标人若有一项不合格，即判定其基本资格条件审查结果为不合格，投标文件无效，不得进入后续评审阶段</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073"/>
        <w:gridCol w:w="7034"/>
      </w:tblGrid>
      <w:tr w14:paraId="7397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blHeader/>
        </w:trPr>
        <w:tc>
          <w:tcPr>
            <w:tcW w:w="426" w:type="pct"/>
            <w:vAlign w:val="center"/>
          </w:tcPr>
          <w:p w14:paraId="7D67CF66">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rPr>
              <w:t>序号</w:t>
            </w:r>
          </w:p>
        </w:tc>
        <w:tc>
          <w:tcPr>
            <w:tcW w:w="1041" w:type="pct"/>
            <w:vAlign w:val="center"/>
          </w:tcPr>
          <w:p w14:paraId="128C82EE">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评审因素</w:t>
            </w:r>
          </w:p>
        </w:tc>
        <w:tc>
          <w:tcPr>
            <w:tcW w:w="3531" w:type="pct"/>
            <w:vAlign w:val="center"/>
          </w:tcPr>
          <w:p w14:paraId="33879624">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评审标准</w:t>
            </w:r>
          </w:p>
        </w:tc>
      </w:tr>
      <w:tr w14:paraId="7F48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 w:hRule="atLeast"/>
        </w:trPr>
        <w:tc>
          <w:tcPr>
            <w:tcW w:w="426" w:type="pct"/>
            <w:vAlign w:val="center"/>
          </w:tcPr>
          <w:p w14:paraId="1BED1AF0">
            <w:pPr>
              <w:autoSpaceDE w:val="0"/>
              <w:autoSpaceDN w:val="0"/>
              <w:adjustRightIn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1</w:t>
            </w:r>
          </w:p>
        </w:tc>
        <w:tc>
          <w:tcPr>
            <w:tcW w:w="1041" w:type="pct"/>
            <w:vAlign w:val="center"/>
          </w:tcPr>
          <w:p w14:paraId="722F2E7E">
            <w:pPr>
              <w:autoSpaceDE w:val="0"/>
              <w:autoSpaceDN w:val="0"/>
              <w:adjustRightInd w:val="0"/>
              <w:spacing w:line="360" w:lineRule="auto"/>
              <w:jc w:val="left"/>
              <w:rPr>
                <w:rFonts w:hint="eastAsia" w:ascii="宋体" w:hAnsi="宋体" w:cs="宋体"/>
                <w:bCs/>
                <w:color w:val="000000"/>
                <w:sz w:val="24"/>
                <w:szCs w:val="24"/>
                <w:lang w:val="zh-CN"/>
              </w:rPr>
            </w:pPr>
            <w:r>
              <w:rPr>
                <w:rFonts w:hint="eastAsia" w:ascii="宋体" w:hAnsi="宋体" w:cs="宋体"/>
                <w:bCs/>
                <w:color w:val="000000"/>
                <w:sz w:val="24"/>
                <w:szCs w:val="24"/>
                <w:lang w:val="zh-CN"/>
              </w:rPr>
              <w:t>营业执照副本</w:t>
            </w:r>
          </w:p>
        </w:tc>
        <w:tc>
          <w:tcPr>
            <w:tcW w:w="3531" w:type="pct"/>
            <w:vAlign w:val="center"/>
          </w:tcPr>
          <w:p w14:paraId="171798A7">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具备有效的营业执照副本</w:t>
            </w:r>
            <w:r>
              <w:rPr>
                <w:rFonts w:hint="eastAsia" w:ascii="宋体" w:hAnsi="宋体" w:cs="宋体"/>
                <w:b/>
                <w:bCs/>
                <w:color w:val="000000"/>
                <w:sz w:val="24"/>
                <w:szCs w:val="24"/>
                <w:lang w:val="zh-CN"/>
              </w:rPr>
              <w:t>（标书内附复印件加盖公章）</w:t>
            </w:r>
          </w:p>
        </w:tc>
      </w:tr>
      <w:tr w14:paraId="3FE0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426" w:type="pct"/>
            <w:vAlign w:val="center"/>
          </w:tcPr>
          <w:p w14:paraId="088E2B2F">
            <w:pPr>
              <w:autoSpaceDE w:val="0"/>
              <w:autoSpaceDN w:val="0"/>
              <w:adjustRightIn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2</w:t>
            </w:r>
          </w:p>
        </w:tc>
        <w:tc>
          <w:tcPr>
            <w:tcW w:w="1041" w:type="pct"/>
            <w:vAlign w:val="center"/>
          </w:tcPr>
          <w:p w14:paraId="511B5575">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财务要求</w:t>
            </w:r>
          </w:p>
        </w:tc>
        <w:tc>
          <w:tcPr>
            <w:tcW w:w="3531" w:type="pct"/>
            <w:vAlign w:val="center"/>
          </w:tcPr>
          <w:p w14:paraId="20AA49DD">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color w:val="000000"/>
                <w:sz w:val="24"/>
                <w:szCs w:val="24"/>
              </w:rPr>
              <w:t>提供经第三方会计师事务所审计的2023年完整有效的企业财务审计报告或提供其基本开户银行在投标截止日前，六个月内出具的资信证明（银行出具的存款证明不能替代银行资信证明）；</w:t>
            </w:r>
            <w:r>
              <w:rPr>
                <w:rFonts w:hint="eastAsia" w:ascii="宋体" w:hAnsi="宋体" w:cs="宋体"/>
                <w:b/>
                <w:bCs/>
                <w:color w:val="000000"/>
                <w:sz w:val="24"/>
                <w:szCs w:val="24"/>
                <w:lang w:val="zh-CN"/>
              </w:rPr>
              <w:t>（标书内附复印件加盖公章）</w:t>
            </w:r>
          </w:p>
        </w:tc>
      </w:tr>
      <w:tr w14:paraId="5D01A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atLeast"/>
        </w:trPr>
        <w:tc>
          <w:tcPr>
            <w:tcW w:w="426" w:type="pct"/>
            <w:vAlign w:val="center"/>
          </w:tcPr>
          <w:p w14:paraId="1FD16175">
            <w:pPr>
              <w:autoSpaceDE w:val="0"/>
              <w:autoSpaceDN w:val="0"/>
              <w:adjustRightIn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3</w:t>
            </w:r>
          </w:p>
        </w:tc>
        <w:tc>
          <w:tcPr>
            <w:tcW w:w="1041" w:type="pct"/>
            <w:vAlign w:val="center"/>
          </w:tcPr>
          <w:p w14:paraId="3E948DF6">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依法缴纳税收的良好记录</w:t>
            </w:r>
          </w:p>
        </w:tc>
        <w:tc>
          <w:tcPr>
            <w:tcW w:w="3531" w:type="pct"/>
            <w:vAlign w:val="center"/>
          </w:tcPr>
          <w:p w14:paraId="6416E2A4">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提供投标截止日前，一年内任一月份的缴税凭据或完税证明等；依法免税的，应提供相应文件证明其依法免税；</w:t>
            </w:r>
            <w:r>
              <w:rPr>
                <w:rFonts w:hint="eastAsia" w:ascii="宋体" w:hAnsi="宋体" w:cs="宋体"/>
                <w:b/>
                <w:bCs/>
                <w:color w:val="000000"/>
                <w:sz w:val="24"/>
                <w:szCs w:val="24"/>
                <w:lang w:val="zh-CN"/>
              </w:rPr>
              <w:t>（标书内附复印件加盖公章）</w:t>
            </w:r>
          </w:p>
        </w:tc>
      </w:tr>
      <w:tr w14:paraId="67B7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426" w:type="pct"/>
            <w:vAlign w:val="center"/>
          </w:tcPr>
          <w:p w14:paraId="23F06947">
            <w:pPr>
              <w:autoSpaceDE w:val="0"/>
              <w:autoSpaceDN w:val="0"/>
              <w:adjustRightIn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4</w:t>
            </w:r>
          </w:p>
        </w:tc>
        <w:tc>
          <w:tcPr>
            <w:tcW w:w="1041" w:type="pct"/>
            <w:vAlign w:val="center"/>
          </w:tcPr>
          <w:p w14:paraId="59039FEF">
            <w:pPr>
              <w:autoSpaceDE w:val="0"/>
              <w:autoSpaceDN w:val="0"/>
              <w:adjustRightInd w:val="0"/>
              <w:spacing w:line="360" w:lineRule="auto"/>
              <w:rPr>
                <w:rFonts w:hint="eastAsia" w:ascii="宋体" w:hAnsi="宋体" w:cs="宋体"/>
                <w:color w:val="000000"/>
                <w:sz w:val="24"/>
                <w:szCs w:val="24"/>
              </w:rPr>
            </w:pPr>
            <w:r>
              <w:rPr>
                <w:rFonts w:hint="eastAsia" w:ascii="宋体" w:hAnsi="宋体" w:cs="宋体"/>
                <w:bCs/>
                <w:color w:val="000000"/>
                <w:sz w:val="24"/>
                <w:szCs w:val="24"/>
                <w:lang w:val="zh-CN"/>
              </w:rPr>
              <w:t>依法缴纳社会保障资金的良好记录</w:t>
            </w:r>
          </w:p>
        </w:tc>
        <w:tc>
          <w:tcPr>
            <w:tcW w:w="3531" w:type="pct"/>
            <w:vAlign w:val="center"/>
          </w:tcPr>
          <w:p w14:paraId="7B1B772D">
            <w:pPr>
              <w:autoSpaceDE w:val="0"/>
              <w:autoSpaceDN w:val="0"/>
              <w:adjustRightInd w:val="0"/>
              <w:spacing w:line="360" w:lineRule="auto"/>
              <w:rPr>
                <w:rFonts w:hint="eastAsia" w:ascii="宋体" w:hAnsi="宋体" w:cs="宋体"/>
                <w:color w:val="000000"/>
                <w:sz w:val="24"/>
                <w:szCs w:val="24"/>
              </w:rPr>
            </w:pPr>
            <w:r>
              <w:rPr>
                <w:rFonts w:hint="eastAsia" w:ascii="宋体" w:hAnsi="宋体" w:cs="宋体"/>
                <w:bCs/>
                <w:color w:val="000000"/>
                <w:sz w:val="24"/>
                <w:szCs w:val="24"/>
                <w:lang w:val="zh-CN"/>
              </w:rPr>
              <w:t>提供投标截止日前，一年内任一月份缴纳社会保险的凭据；依法不需要缴纳社会保险的，应提供相应文件证明其依法不需要缴纳社会保险；</w:t>
            </w:r>
            <w:r>
              <w:rPr>
                <w:rFonts w:hint="eastAsia" w:ascii="宋体" w:hAnsi="宋体" w:cs="宋体"/>
                <w:b/>
                <w:bCs/>
                <w:color w:val="000000"/>
                <w:sz w:val="24"/>
                <w:szCs w:val="24"/>
                <w:lang w:val="zh-CN"/>
              </w:rPr>
              <w:t>（标书内附复印件加盖公章）</w:t>
            </w:r>
          </w:p>
        </w:tc>
      </w:tr>
      <w:tr w14:paraId="1BDC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9" w:hRule="atLeast"/>
        </w:trPr>
        <w:tc>
          <w:tcPr>
            <w:tcW w:w="426" w:type="pct"/>
            <w:vAlign w:val="center"/>
          </w:tcPr>
          <w:p w14:paraId="1718B18B">
            <w:pPr>
              <w:autoSpaceDE w:val="0"/>
              <w:autoSpaceDN w:val="0"/>
              <w:adjustRightIn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5</w:t>
            </w:r>
          </w:p>
        </w:tc>
        <w:tc>
          <w:tcPr>
            <w:tcW w:w="1041" w:type="pct"/>
            <w:vAlign w:val="center"/>
          </w:tcPr>
          <w:p w14:paraId="295FD98B">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良好信用记录</w:t>
            </w:r>
          </w:p>
        </w:tc>
        <w:tc>
          <w:tcPr>
            <w:tcW w:w="3531" w:type="pct"/>
            <w:vAlign w:val="center"/>
          </w:tcPr>
          <w:p w14:paraId="5D297E3D">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提供“信用中国”网站（www.creditchina.gov.cn）、中国政府采购网（www.ccgp.gov.cn）渠道查询投标人信用记录。经查询，列入失信被执行人、重大税收违法失信主体、政府采购严重违法失信行为记录名单，其投标无效。</w:t>
            </w:r>
            <w:r>
              <w:rPr>
                <w:rFonts w:hint="eastAsia" w:ascii="宋体" w:hAnsi="宋体" w:cs="宋体"/>
                <w:b/>
                <w:color w:val="000000"/>
                <w:sz w:val="24"/>
                <w:szCs w:val="24"/>
                <w:lang w:val="zh-CN"/>
              </w:rPr>
              <w:t>（标书内提供网站截图加盖公章）</w:t>
            </w:r>
          </w:p>
        </w:tc>
      </w:tr>
      <w:tr w14:paraId="7888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426" w:type="pct"/>
            <w:vAlign w:val="center"/>
          </w:tcPr>
          <w:p w14:paraId="01D908D6">
            <w:pPr>
              <w:autoSpaceDE w:val="0"/>
              <w:autoSpaceDN w:val="0"/>
              <w:adjustRightIn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6</w:t>
            </w:r>
          </w:p>
        </w:tc>
        <w:tc>
          <w:tcPr>
            <w:tcW w:w="1041" w:type="pct"/>
            <w:vAlign w:val="center"/>
          </w:tcPr>
          <w:p w14:paraId="7E34AE7D">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参加政府采购活动前三年内，在经营活动中没有重大违法记录</w:t>
            </w:r>
          </w:p>
        </w:tc>
        <w:tc>
          <w:tcPr>
            <w:tcW w:w="3531" w:type="pct"/>
            <w:vAlign w:val="center"/>
          </w:tcPr>
          <w:p w14:paraId="4616ECD2">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提供企业近三年无重大违法记录声明函</w:t>
            </w:r>
            <w:r>
              <w:rPr>
                <w:rFonts w:hint="eastAsia" w:ascii="宋体" w:hAnsi="宋体" w:cs="宋体"/>
                <w:b/>
                <w:color w:val="000000"/>
                <w:sz w:val="24"/>
                <w:szCs w:val="24"/>
                <w:lang w:val="zh-CN"/>
              </w:rPr>
              <w:t>（标书内</w:t>
            </w:r>
            <w:r>
              <w:rPr>
                <w:rFonts w:hint="eastAsia" w:ascii="宋体" w:hAnsi="宋体" w:cs="宋体"/>
                <w:b/>
                <w:color w:val="000000"/>
                <w:sz w:val="24"/>
                <w:szCs w:val="24"/>
              </w:rPr>
              <w:t>附复印件并</w:t>
            </w:r>
            <w:r>
              <w:rPr>
                <w:rFonts w:hint="eastAsia" w:ascii="宋体" w:hAnsi="宋体" w:cs="宋体"/>
                <w:b/>
                <w:color w:val="000000"/>
                <w:sz w:val="24"/>
                <w:szCs w:val="24"/>
                <w:lang w:val="zh-CN"/>
              </w:rPr>
              <w:t>加盖公章）</w:t>
            </w:r>
          </w:p>
        </w:tc>
      </w:tr>
      <w:tr w14:paraId="5863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426" w:type="pct"/>
            <w:vAlign w:val="center"/>
          </w:tcPr>
          <w:p w14:paraId="15342971">
            <w:pPr>
              <w:autoSpaceDE w:val="0"/>
              <w:autoSpaceDN w:val="0"/>
              <w:adjustRightIn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7</w:t>
            </w:r>
          </w:p>
        </w:tc>
        <w:tc>
          <w:tcPr>
            <w:tcW w:w="2075" w:type="dxa"/>
            <w:vAlign w:val="center"/>
          </w:tcPr>
          <w:p w14:paraId="0D268B20">
            <w:pPr>
              <w:autoSpaceDE w:val="0"/>
              <w:autoSpaceDN w:val="0"/>
              <w:adjustRightInd w:val="0"/>
              <w:spacing w:line="240" w:lineRule="atLeast"/>
              <w:rPr>
                <w:rFonts w:hint="eastAsia" w:ascii="宋体" w:hAnsi="宋体" w:cs="宋体"/>
                <w:bCs/>
                <w:color w:val="000000"/>
                <w:sz w:val="24"/>
                <w:szCs w:val="24"/>
              </w:rPr>
            </w:pPr>
            <w:r>
              <w:rPr>
                <w:rFonts w:hint="eastAsia" w:ascii="宋体" w:hAnsi="宋体" w:cs="宋体"/>
                <w:bCs/>
                <w:color w:val="000000"/>
                <w:sz w:val="24"/>
                <w:szCs w:val="24"/>
              </w:rPr>
              <w:t xml:space="preserve">中小企业证明文 </w:t>
            </w:r>
          </w:p>
          <w:p w14:paraId="1AB41183">
            <w:pPr>
              <w:autoSpaceDE w:val="0"/>
              <w:autoSpaceDN w:val="0"/>
              <w:adjustRightInd w:val="0"/>
              <w:spacing w:line="240" w:lineRule="atLeast"/>
              <w:rPr>
                <w:rFonts w:hint="eastAsia" w:ascii="宋体" w:hAnsi="宋体" w:cs="宋体"/>
                <w:bCs/>
                <w:color w:val="000000"/>
                <w:sz w:val="24"/>
                <w:szCs w:val="24"/>
              </w:rPr>
            </w:pPr>
            <w:r>
              <w:rPr>
                <w:rFonts w:hint="eastAsia" w:ascii="宋体" w:hAnsi="宋体" w:cs="宋体"/>
                <w:bCs/>
                <w:color w:val="000000"/>
                <w:sz w:val="24"/>
                <w:szCs w:val="24"/>
              </w:rPr>
              <w:t>件</w:t>
            </w:r>
          </w:p>
        </w:tc>
        <w:tc>
          <w:tcPr>
            <w:tcW w:w="7032" w:type="dxa"/>
            <w:vAlign w:val="center"/>
          </w:tcPr>
          <w:p w14:paraId="09107BA0">
            <w:pPr>
              <w:autoSpaceDE w:val="0"/>
              <w:autoSpaceDN w:val="0"/>
              <w:adjustRightInd w:val="0"/>
              <w:spacing w:line="240" w:lineRule="atLeast"/>
              <w:rPr>
                <w:rFonts w:hint="eastAsia" w:ascii="宋体" w:hAnsi="宋体" w:cs="宋体"/>
                <w:bCs/>
                <w:color w:val="000000"/>
                <w:sz w:val="24"/>
                <w:szCs w:val="24"/>
                <w:lang w:val="zh-CN"/>
              </w:rPr>
            </w:pPr>
            <w:r>
              <w:rPr>
                <w:rFonts w:hint="eastAsia" w:ascii="宋体" w:hAnsi="宋体" w:cs="宋体"/>
                <w:bCs/>
                <w:color w:val="000000"/>
                <w:sz w:val="24"/>
                <w:szCs w:val="24"/>
              </w:rPr>
              <w:t>本项目专门面向中小企业采购，提供《中小企业声明函》或《残疾人福利性单位声明函》或由省级以上监狱管理局、戒毒管理局（含新疆生产建设兵团）出具的属于监狱企业的证明文件</w:t>
            </w:r>
            <w:r>
              <w:rPr>
                <w:rFonts w:hint="eastAsia" w:ascii="宋体" w:hAnsi="宋体" w:cs="宋体"/>
                <w:bCs/>
                <w:color w:val="000000"/>
                <w:sz w:val="24"/>
                <w:szCs w:val="24"/>
                <w:lang w:val="zh-CN"/>
              </w:rPr>
              <w:t>（详见文件格式）</w:t>
            </w:r>
            <w:r>
              <w:rPr>
                <w:rFonts w:hint="eastAsia" w:ascii="宋体" w:hAnsi="宋体" w:cs="宋体"/>
                <w:b/>
                <w:color w:val="000000"/>
                <w:sz w:val="24"/>
                <w:szCs w:val="24"/>
                <w:lang w:val="zh-CN"/>
              </w:rPr>
              <w:t>（标书内</w:t>
            </w:r>
            <w:r>
              <w:rPr>
                <w:rFonts w:hint="eastAsia" w:ascii="宋体" w:hAnsi="宋体" w:cs="宋体"/>
                <w:b/>
                <w:color w:val="000000"/>
                <w:sz w:val="24"/>
                <w:szCs w:val="24"/>
              </w:rPr>
              <w:t>附复印件并</w:t>
            </w:r>
            <w:r>
              <w:rPr>
                <w:rFonts w:hint="eastAsia" w:ascii="宋体" w:hAnsi="宋体" w:cs="宋体"/>
                <w:b/>
                <w:color w:val="000000"/>
                <w:sz w:val="24"/>
                <w:szCs w:val="24"/>
                <w:lang w:val="zh-CN"/>
              </w:rPr>
              <w:t>加盖公章）</w:t>
            </w:r>
          </w:p>
        </w:tc>
      </w:tr>
      <w:tr w14:paraId="47622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426" w:type="pct"/>
            <w:vAlign w:val="center"/>
          </w:tcPr>
          <w:p w14:paraId="77D8A69F">
            <w:pPr>
              <w:autoSpaceDE w:val="0"/>
              <w:autoSpaceDN w:val="0"/>
              <w:adjustRightIn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8</w:t>
            </w:r>
          </w:p>
        </w:tc>
        <w:tc>
          <w:tcPr>
            <w:tcW w:w="1041" w:type="pct"/>
            <w:shd w:val="clear" w:color="auto" w:fill="auto"/>
            <w:vAlign w:val="center"/>
          </w:tcPr>
          <w:p w14:paraId="4D7D1C7E">
            <w:pPr>
              <w:autoSpaceDE w:val="0"/>
              <w:autoSpaceDN w:val="0"/>
              <w:adjustRightIn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其他要求</w:t>
            </w:r>
          </w:p>
        </w:tc>
        <w:tc>
          <w:tcPr>
            <w:tcW w:w="3531" w:type="pct"/>
            <w:shd w:val="clear" w:color="auto" w:fill="auto"/>
            <w:vAlign w:val="center"/>
          </w:tcPr>
          <w:p w14:paraId="53BAFBFE">
            <w:pPr>
              <w:autoSpaceDE w:val="0"/>
              <w:autoSpaceDN w:val="0"/>
              <w:adjustRightInd w:val="0"/>
              <w:rPr>
                <w:rFonts w:hint="eastAsia" w:ascii="宋体" w:hAnsi="宋体" w:cs="宋体"/>
                <w:bCs/>
                <w:color w:val="000000"/>
                <w:sz w:val="24"/>
                <w:szCs w:val="24"/>
                <w:lang w:val="zh-CN"/>
              </w:rPr>
            </w:pPr>
            <w:r>
              <w:rPr>
                <w:rFonts w:hint="eastAsia" w:ascii="宋体" w:hAnsi="宋体" w:cs="宋体"/>
                <w:sz w:val="24"/>
                <w:szCs w:val="24"/>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应当被否决</w:t>
            </w:r>
            <w:r>
              <w:rPr>
                <w:rFonts w:hint="eastAsia" w:ascii="宋体" w:hAnsi="宋体" w:cs="宋体"/>
                <w:b/>
                <w:bCs/>
                <w:sz w:val="24"/>
                <w:szCs w:val="24"/>
                <w:lang w:val="zh-CN"/>
              </w:rPr>
              <w:t>（标书内附法定代表人签字并加盖公章的承诺书）</w:t>
            </w:r>
          </w:p>
        </w:tc>
      </w:tr>
      <w:tr w14:paraId="342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426" w:type="pct"/>
          </w:tcPr>
          <w:p w14:paraId="1A86D268">
            <w:pPr>
              <w:spacing w:before="75" w:line="360" w:lineRule="auto"/>
              <w:ind w:left="135"/>
              <w:rPr>
                <w:rFonts w:hint="eastAsia" w:ascii="宋体" w:hAnsi="宋体" w:cs="宋体"/>
                <w:bCs/>
                <w:color w:val="000000"/>
                <w:sz w:val="24"/>
                <w:szCs w:val="24"/>
              </w:rPr>
            </w:pPr>
            <w:r>
              <w:rPr>
                <w:rFonts w:ascii="宋体" w:hAnsi="宋体" w:cs="宋体"/>
                <w:spacing w:val="4"/>
                <w:sz w:val="24"/>
                <w:szCs w:val="24"/>
              </w:rPr>
              <w:t>备</w:t>
            </w:r>
            <w:r>
              <w:rPr>
                <w:rFonts w:ascii="宋体" w:hAnsi="宋体" w:cs="宋体"/>
                <w:spacing w:val="3"/>
                <w:sz w:val="24"/>
                <w:szCs w:val="24"/>
              </w:rPr>
              <w:t>注</w:t>
            </w:r>
          </w:p>
        </w:tc>
        <w:tc>
          <w:tcPr>
            <w:tcW w:w="4573" w:type="pct"/>
            <w:gridSpan w:val="2"/>
            <w:vAlign w:val="center"/>
          </w:tcPr>
          <w:p w14:paraId="4142A0D2">
            <w:pPr>
              <w:spacing w:line="360" w:lineRule="auto"/>
              <w:rPr>
                <w:sz w:val="24"/>
                <w:szCs w:val="24"/>
                <w:lang w:val="zh-CN"/>
              </w:rPr>
            </w:pPr>
            <w:r>
              <w:rPr>
                <w:rFonts w:hint="eastAsia" w:ascii="宋体" w:hAnsi="宋体" w:cs="宋体"/>
                <w:sz w:val="24"/>
                <w:szCs w:val="24"/>
              </w:rPr>
              <w:t>以上各项有 1 项不合格，评审不予通过。</w:t>
            </w:r>
          </w:p>
        </w:tc>
      </w:tr>
    </w:tbl>
    <w:p w14:paraId="59D8C3E7">
      <w:pPr>
        <w:ind w:firstLine="480" w:firstLineChars="200"/>
        <w:rPr>
          <w:rFonts w:hint="eastAsia" w:ascii="宋体" w:hAnsi="宋体" w:cs="宋体"/>
          <w:color w:val="000000"/>
          <w:sz w:val="24"/>
          <w:szCs w:val="24"/>
        </w:rPr>
      </w:pPr>
    </w:p>
    <w:p w14:paraId="6BE06096">
      <w:pPr>
        <w:pStyle w:val="3"/>
        <w:rPr>
          <w:rFonts w:hint="eastAsia" w:ascii="宋体" w:hAnsi="宋体" w:cs="宋体"/>
          <w:color w:val="000000"/>
          <w:sz w:val="24"/>
          <w:szCs w:val="24"/>
        </w:rPr>
      </w:pPr>
    </w:p>
    <w:p w14:paraId="19E65B5F">
      <w:pPr>
        <w:rPr>
          <w:rFonts w:hint="eastAsia" w:ascii="宋体" w:hAnsi="宋体" w:cs="宋体"/>
          <w:color w:val="000000"/>
          <w:sz w:val="24"/>
          <w:szCs w:val="24"/>
        </w:rPr>
      </w:pPr>
    </w:p>
    <w:p w14:paraId="354C0F2C">
      <w:pPr>
        <w:pStyle w:val="3"/>
        <w:rPr>
          <w:rFonts w:hint="eastAsia" w:ascii="宋体" w:hAnsi="宋体" w:cs="宋体"/>
          <w:color w:val="000000"/>
          <w:sz w:val="24"/>
          <w:szCs w:val="24"/>
        </w:rPr>
      </w:pPr>
    </w:p>
    <w:p w14:paraId="41EEE5A6">
      <w:pPr>
        <w:rPr>
          <w:rFonts w:hint="eastAsia" w:ascii="宋体" w:hAnsi="宋体" w:cs="宋体"/>
          <w:color w:val="000000"/>
          <w:sz w:val="24"/>
          <w:szCs w:val="24"/>
        </w:rPr>
      </w:pPr>
    </w:p>
    <w:p w14:paraId="04ECE2E8">
      <w:pPr>
        <w:pStyle w:val="3"/>
        <w:rPr>
          <w:rFonts w:hint="eastAsia" w:ascii="宋体" w:hAnsi="宋体" w:cs="宋体"/>
          <w:color w:val="000000"/>
          <w:sz w:val="24"/>
          <w:szCs w:val="24"/>
        </w:rPr>
      </w:pPr>
    </w:p>
    <w:p w14:paraId="0EC98A58"/>
    <w:p w14:paraId="64CCFDF3">
      <w:pPr>
        <w:rPr>
          <w:rFonts w:hint="eastAsia" w:ascii="宋体" w:hAnsi="宋体" w:cs="宋体"/>
          <w:color w:val="000000"/>
          <w:sz w:val="24"/>
          <w:szCs w:val="24"/>
        </w:rPr>
      </w:pPr>
    </w:p>
    <w:p w14:paraId="27374505">
      <w:pPr>
        <w:spacing w:line="360" w:lineRule="auto"/>
        <w:ind w:firstLine="482" w:firstLineChars="200"/>
        <w:rPr>
          <w:rFonts w:hint="eastAsia" w:ascii="宋体" w:hAnsi="宋体" w:cs="宋体"/>
          <w:b/>
          <w:bCs/>
          <w:color w:val="000000"/>
          <w:sz w:val="24"/>
          <w:szCs w:val="24"/>
        </w:rPr>
      </w:pPr>
    </w:p>
    <w:p w14:paraId="0E5FA052">
      <w:pPr>
        <w:spacing w:line="360" w:lineRule="auto"/>
        <w:ind w:firstLine="482" w:firstLineChars="200"/>
        <w:rPr>
          <w:rFonts w:hint="eastAsia" w:ascii="宋体" w:hAnsi="宋体" w:cs="宋体"/>
          <w:b/>
          <w:bCs/>
          <w:color w:val="000000"/>
          <w:sz w:val="24"/>
          <w:szCs w:val="24"/>
        </w:rPr>
      </w:pPr>
    </w:p>
    <w:p w14:paraId="0596128E">
      <w:pPr>
        <w:spacing w:line="360" w:lineRule="auto"/>
        <w:ind w:firstLine="482" w:firstLineChars="200"/>
        <w:rPr>
          <w:rFonts w:hint="eastAsia" w:ascii="宋体" w:hAnsi="宋体" w:cs="宋体"/>
          <w:b/>
          <w:bCs/>
          <w:color w:val="000000"/>
          <w:sz w:val="24"/>
          <w:szCs w:val="24"/>
          <w:lang w:val="zh-CN"/>
        </w:rPr>
      </w:pPr>
      <w:r>
        <w:rPr>
          <w:rFonts w:hint="eastAsia" w:ascii="宋体" w:hAnsi="宋体" w:cs="宋体"/>
          <w:b/>
          <w:bCs/>
          <w:color w:val="000000"/>
          <w:sz w:val="24"/>
          <w:szCs w:val="24"/>
        </w:rPr>
        <w:t>2、符合</w:t>
      </w:r>
      <w:r>
        <w:rPr>
          <w:rFonts w:hint="eastAsia" w:ascii="宋体" w:hAnsi="宋体" w:cs="宋体"/>
          <w:b/>
          <w:bCs/>
          <w:color w:val="000000"/>
          <w:sz w:val="24"/>
          <w:szCs w:val="24"/>
          <w:lang w:val="zh-CN"/>
        </w:rPr>
        <w:t>性审查表</w:t>
      </w:r>
    </w:p>
    <w:p w14:paraId="69527DDE">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评标委员会依法对符合资格条件的投标人的投标文件进行符合性审查。未通过符合性审查的投标文件，不得进入后续评标环节。</w:t>
      </w:r>
    </w:p>
    <w:p w14:paraId="1CB394E7">
      <w:pPr>
        <w:spacing w:line="360" w:lineRule="auto"/>
        <w:rPr>
          <w:rFonts w:hint="eastAsia" w:ascii="宋体" w:hAnsi="宋体" w:cs="宋体"/>
          <w:sz w:val="24"/>
          <w:szCs w:val="24"/>
          <w:lang w:val="zh-CN"/>
        </w:rPr>
      </w:pPr>
      <w:r>
        <w:rPr>
          <w:rFonts w:hint="eastAsia" w:ascii="宋体" w:hAnsi="宋体" w:cs="宋体"/>
          <w:sz w:val="24"/>
          <w:szCs w:val="24"/>
          <w:lang w:val="zh-CN"/>
        </w:rPr>
        <w:t>评标委员会按下列评审标准进行符合性审查：</w:t>
      </w:r>
    </w:p>
    <w:tbl>
      <w:tblPr>
        <w:tblStyle w:val="21"/>
        <w:tblW w:w="49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402"/>
        <w:gridCol w:w="6617"/>
      </w:tblGrid>
      <w:tr w14:paraId="52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7" w:type="dxa"/>
            <w:vAlign w:val="center"/>
          </w:tcPr>
          <w:p w14:paraId="306420EF">
            <w:pPr>
              <w:autoSpaceDE w:val="0"/>
              <w:autoSpaceDN w:val="0"/>
              <w:adjustRightInd w:val="0"/>
              <w:spacing w:line="360" w:lineRule="auto"/>
              <w:jc w:val="center"/>
              <w:rPr>
                <w:rFonts w:hint="eastAsia" w:ascii="宋体" w:hAnsi="宋体" w:cs="宋体"/>
                <w:bCs/>
                <w:color w:val="000000"/>
                <w:sz w:val="24"/>
                <w:szCs w:val="24"/>
              </w:rPr>
            </w:pPr>
            <w:r>
              <w:rPr>
                <w:rFonts w:hint="eastAsia" w:ascii="宋体" w:hAnsi="宋体" w:cs="宋体"/>
                <w:bCs/>
                <w:color w:val="000000"/>
                <w:sz w:val="24"/>
                <w:szCs w:val="24"/>
              </w:rPr>
              <w:t>序号</w:t>
            </w:r>
          </w:p>
        </w:tc>
        <w:tc>
          <w:tcPr>
            <w:tcW w:w="2402" w:type="dxa"/>
            <w:vAlign w:val="center"/>
          </w:tcPr>
          <w:p w14:paraId="0C504173">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评审因素</w:t>
            </w:r>
          </w:p>
        </w:tc>
        <w:tc>
          <w:tcPr>
            <w:tcW w:w="6618" w:type="dxa"/>
            <w:vAlign w:val="center"/>
          </w:tcPr>
          <w:p w14:paraId="7DEB9D55">
            <w:pPr>
              <w:autoSpaceDE w:val="0"/>
              <w:autoSpaceDN w:val="0"/>
              <w:adjustRightInd w:val="0"/>
              <w:spacing w:line="360" w:lineRule="auto"/>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评审标准</w:t>
            </w:r>
          </w:p>
        </w:tc>
      </w:tr>
      <w:tr w14:paraId="4246C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7" w:type="dxa"/>
            <w:vAlign w:val="center"/>
          </w:tcPr>
          <w:p w14:paraId="3A86F821">
            <w:pPr>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1</w:t>
            </w:r>
          </w:p>
        </w:tc>
        <w:tc>
          <w:tcPr>
            <w:tcW w:w="2402" w:type="dxa"/>
            <w:vAlign w:val="center"/>
          </w:tcPr>
          <w:p w14:paraId="66E9EED7">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授权委托书</w:t>
            </w:r>
          </w:p>
        </w:tc>
        <w:tc>
          <w:tcPr>
            <w:tcW w:w="6618" w:type="dxa"/>
            <w:vAlign w:val="center"/>
          </w:tcPr>
          <w:p w14:paraId="377C9AAD">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按招标文件要求</w:t>
            </w:r>
            <w:r>
              <w:rPr>
                <w:rFonts w:hint="eastAsia" w:ascii="宋体" w:hAnsi="宋体" w:cs="宋体"/>
                <w:bCs/>
                <w:color w:val="000000"/>
                <w:sz w:val="24"/>
                <w:szCs w:val="24"/>
              </w:rPr>
              <w:t>提</w:t>
            </w:r>
            <w:r>
              <w:rPr>
                <w:rFonts w:hint="eastAsia" w:ascii="宋体" w:hAnsi="宋体" w:cs="宋体"/>
                <w:bCs/>
                <w:color w:val="000000"/>
                <w:sz w:val="24"/>
                <w:szCs w:val="24"/>
                <w:lang w:val="zh-CN"/>
              </w:rPr>
              <w:t>供授权委托书</w:t>
            </w:r>
          </w:p>
        </w:tc>
      </w:tr>
      <w:tr w14:paraId="3BD4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7" w:type="dxa"/>
            <w:vAlign w:val="center"/>
          </w:tcPr>
          <w:p w14:paraId="2F4A5C8C">
            <w:pPr>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2</w:t>
            </w:r>
          </w:p>
        </w:tc>
        <w:tc>
          <w:tcPr>
            <w:tcW w:w="2402" w:type="dxa"/>
            <w:vAlign w:val="center"/>
          </w:tcPr>
          <w:p w14:paraId="52CD4604">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投标</w:t>
            </w:r>
            <w:r>
              <w:rPr>
                <w:rFonts w:hint="eastAsia" w:ascii="宋体" w:hAnsi="宋体" w:cs="宋体"/>
                <w:bCs/>
                <w:color w:val="000000"/>
                <w:sz w:val="24"/>
                <w:szCs w:val="24"/>
              </w:rPr>
              <w:t>文件的</w:t>
            </w:r>
            <w:r>
              <w:rPr>
                <w:rFonts w:hint="eastAsia" w:ascii="宋体" w:hAnsi="宋体" w:cs="宋体"/>
                <w:bCs/>
                <w:color w:val="000000"/>
                <w:sz w:val="24"/>
                <w:szCs w:val="24"/>
                <w:lang w:val="zh-CN"/>
              </w:rPr>
              <w:t>签</w:t>
            </w:r>
            <w:r>
              <w:rPr>
                <w:rFonts w:hint="eastAsia" w:ascii="宋体" w:hAnsi="宋体" w:cs="宋体"/>
                <w:bCs/>
                <w:color w:val="000000"/>
                <w:sz w:val="24"/>
                <w:szCs w:val="24"/>
              </w:rPr>
              <w:t>署</w:t>
            </w:r>
            <w:r>
              <w:rPr>
                <w:rFonts w:hint="eastAsia" w:ascii="宋体" w:hAnsi="宋体" w:cs="宋体"/>
                <w:bCs/>
                <w:color w:val="000000"/>
                <w:sz w:val="24"/>
                <w:szCs w:val="24"/>
                <w:lang w:val="zh-CN"/>
              </w:rPr>
              <w:t>盖章</w:t>
            </w:r>
          </w:p>
        </w:tc>
        <w:tc>
          <w:tcPr>
            <w:tcW w:w="6618" w:type="dxa"/>
            <w:vAlign w:val="center"/>
          </w:tcPr>
          <w:p w14:paraId="2803FB85">
            <w:pPr>
              <w:widowControl/>
              <w:rPr>
                <w:rFonts w:hint="eastAsia" w:ascii="宋体" w:hAnsi="宋体" w:cs="宋体"/>
                <w:bCs/>
                <w:color w:val="000000"/>
                <w:sz w:val="24"/>
                <w:szCs w:val="24"/>
                <w:lang w:val="zh-CN"/>
              </w:rPr>
            </w:pPr>
            <w:r>
              <w:rPr>
                <w:rFonts w:hint="eastAsia" w:ascii="宋体" w:hAnsi="宋体" w:cs="宋体"/>
                <w:color w:val="000000"/>
                <w:kern w:val="0"/>
                <w:sz w:val="24"/>
                <w:szCs w:val="24"/>
                <w:lang w:bidi="ar"/>
              </w:rPr>
              <w:t>按要求签字盖章</w:t>
            </w:r>
          </w:p>
        </w:tc>
      </w:tr>
      <w:tr w14:paraId="6A35D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7" w:type="dxa"/>
            <w:vAlign w:val="center"/>
          </w:tcPr>
          <w:p w14:paraId="706E957D">
            <w:pPr>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3</w:t>
            </w:r>
          </w:p>
        </w:tc>
        <w:tc>
          <w:tcPr>
            <w:tcW w:w="2402" w:type="dxa"/>
            <w:vAlign w:val="center"/>
          </w:tcPr>
          <w:p w14:paraId="5D69E108">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投标文件格式</w:t>
            </w:r>
          </w:p>
        </w:tc>
        <w:tc>
          <w:tcPr>
            <w:tcW w:w="6618" w:type="dxa"/>
            <w:vAlign w:val="center"/>
          </w:tcPr>
          <w:p w14:paraId="41EADD3A">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符合第</w:t>
            </w:r>
            <w:r>
              <w:rPr>
                <w:rFonts w:hint="eastAsia" w:ascii="宋体" w:hAnsi="宋体" w:cs="宋体"/>
                <w:bCs/>
                <w:color w:val="000000"/>
                <w:sz w:val="24"/>
                <w:szCs w:val="24"/>
              </w:rPr>
              <w:t>六</w:t>
            </w:r>
            <w:r>
              <w:rPr>
                <w:rFonts w:hint="eastAsia" w:ascii="宋体" w:hAnsi="宋体" w:cs="宋体"/>
                <w:bCs/>
                <w:color w:val="000000"/>
                <w:sz w:val="24"/>
                <w:szCs w:val="24"/>
                <w:lang w:val="zh-CN"/>
              </w:rPr>
              <w:t>章“投标文件构成、要求及格式”</w:t>
            </w:r>
            <w:r>
              <w:rPr>
                <w:rFonts w:hint="eastAsia" w:ascii="宋体" w:hAnsi="宋体" w:cs="宋体"/>
                <w:bCs/>
                <w:color w:val="000000"/>
                <w:sz w:val="24"/>
                <w:szCs w:val="24"/>
              </w:rPr>
              <w:t>和招标文件</w:t>
            </w:r>
            <w:r>
              <w:rPr>
                <w:rFonts w:hint="eastAsia" w:ascii="宋体" w:hAnsi="宋体" w:cs="宋体"/>
                <w:bCs/>
                <w:color w:val="000000"/>
                <w:sz w:val="24"/>
                <w:szCs w:val="24"/>
                <w:lang w:val="zh-CN"/>
              </w:rPr>
              <w:t>的要求</w:t>
            </w:r>
          </w:p>
        </w:tc>
      </w:tr>
      <w:tr w14:paraId="64FA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7" w:type="dxa"/>
            <w:shd w:val="clear" w:color="auto" w:fill="auto"/>
            <w:vAlign w:val="center"/>
          </w:tcPr>
          <w:p w14:paraId="2E23826A">
            <w:pPr>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4</w:t>
            </w:r>
          </w:p>
        </w:tc>
        <w:tc>
          <w:tcPr>
            <w:tcW w:w="2402" w:type="dxa"/>
            <w:vAlign w:val="center"/>
          </w:tcPr>
          <w:p w14:paraId="234ED90D">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投标报价</w:t>
            </w:r>
          </w:p>
        </w:tc>
        <w:tc>
          <w:tcPr>
            <w:tcW w:w="6618" w:type="dxa"/>
            <w:vAlign w:val="center"/>
          </w:tcPr>
          <w:p w14:paraId="22E99893">
            <w:pPr>
              <w:widowControl/>
            </w:pPr>
            <w:r>
              <w:rPr>
                <w:rFonts w:hint="eastAsia" w:ascii="宋体" w:hAnsi="宋体" w:cs="宋体"/>
                <w:color w:val="000000"/>
                <w:kern w:val="0"/>
                <w:sz w:val="24"/>
                <w:szCs w:val="24"/>
                <w:lang w:bidi="ar"/>
              </w:rPr>
              <w:t>投标报价未超过招标文件中规定的项目</w:t>
            </w:r>
            <w:r>
              <w:rPr>
                <w:rFonts w:ascii="DejaVuSans" w:hAnsi="DejaVuSans" w:eastAsia="DejaVuSans" w:cs="DejaVuSans"/>
                <w:color w:val="000000"/>
                <w:kern w:val="0"/>
                <w:sz w:val="24"/>
                <w:szCs w:val="24"/>
                <w:lang w:bidi="ar"/>
              </w:rPr>
              <w:t>/</w:t>
            </w:r>
            <w:r>
              <w:rPr>
                <w:rFonts w:hint="eastAsia" w:ascii="宋体" w:hAnsi="宋体" w:cs="宋体"/>
                <w:color w:val="000000"/>
                <w:kern w:val="0"/>
                <w:sz w:val="24"/>
                <w:szCs w:val="24"/>
                <w:lang w:bidi="ar"/>
              </w:rPr>
              <w:t xml:space="preserve">采购包预算金额或者 </w:t>
            </w:r>
          </w:p>
          <w:p w14:paraId="768EF280">
            <w:pPr>
              <w:widowControl/>
              <w:rPr>
                <w:rFonts w:hint="eastAsia" w:ascii="宋体" w:hAnsi="宋体" w:cs="宋体"/>
                <w:bCs/>
                <w:color w:val="000000"/>
                <w:sz w:val="24"/>
                <w:szCs w:val="24"/>
                <w:lang w:val="zh-CN"/>
              </w:rPr>
            </w:pPr>
            <w:r>
              <w:rPr>
                <w:rFonts w:hint="eastAsia" w:ascii="宋体" w:hAnsi="宋体" w:cs="宋体"/>
                <w:color w:val="000000"/>
                <w:kern w:val="0"/>
                <w:sz w:val="24"/>
                <w:szCs w:val="24"/>
                <w:lang w:bidi="ar"/>
              </w:rPr>
              <w:t>项目</w:t>
            </w:r>
            <w:r>
              <w:rPr>
                <w:rFonts w:ascii="DejaVuSans" w:hAnsi="DejaVuSans" w:eastAsia="DejaVuSans" w:cs="DejaVuSans"/>
                <w:color w:val="000000"/>
                <w:kern w:val="0"/>
                <w:sz w:val="24"/>
                <w:szCs w:val="24"/>
                <w:lang w:bidi="ar"/>
              </w:rPr>
              <w:t>/</w:t>
            </w:r>
            <w:r>
              <w:rPr>
                <w:rFonts w:hint="eastAsia" w:ascii="宋体" w:hAnsi="宋体" w:cs="宋体"/>
                <w:color w:val="000000"/>
                <w:kern w:val="0"/>
                <w:sz w:val="24"/>
                <w:szCs w:val="24"/>
                <w:lang w:bidi="ar"/>
              </w:rPr>
              <w:t>采购包最高限价</w:t>
            </w:r>
          </w:p>
        </w:tc>
      </w:tr>
      <w:tr w14:paraId="7F40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7" w:type="dxa"/>
            <w:shd w:val="clear" w:color="auto" w:fill="auto"/>
            <w:vAlign w:val="center"/>
          </w:tcPr>
          <w:p w14:paraId="68E04B27">
            <w:pPr>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5</w:t>
            </w:r>
          </w:p>
        </w:tc>
        <w:tc>
          <w:tcPr>
            <w:tcW w:w="2402" w:type="dxa"/>
            <w:vAlign w:val="center"/>
          </w:tcPr>
          <w:p w14:paraId="7FB010D9">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报价唯一</w:t>
            </w:r>
          </w:p>
        </w:tc>
        <w:tc>
          <w:tcPr>
            <w:tcW w:w="6618" w:type="dxa"/>
            <w:vAlign w:val="center"/>
          </w:tcPr>
          <w:p w14:paraId="20835470">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投标文件未出现可选择性或可调整的报价（招标文件另有规定 </w:t>
            </w:r>
          </w:p>
          <w:p w14:paraId="694B0D0C">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的除外）</w:t>
            </w:r>
          </w:p>
        </w:tc>
      </w:tr>
      <w:tr w14:paraId="4571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7" w:type="dxa"/>
            <w:shd w:val="clear" w:color="auto" w:fill="auto"/>
            <w:vAlign w:val="center"/>
          </w:tcPr>
          <w:p w14:paraId="697BD50B">
            <w:pPr>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6</w:t>
            </w:r>
          </w:p>
        </w:tc>
        <w:tc>
          <w:tcPr>
            <w:tcW w:w="2402" w:type="dxa"/>
            <w:shd w:val="clear" w:color="auto" w:fill="auto"/>
            <w:vAlign w:val="center"/>
          </w:tcPr>
          <w:p w14:paraId="4EA8EF5F">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合同履行期限</w:t>
            </w:r>
          </w:p>
        </w:tc>
        <w:tc>
          <w:tcPr>
            <w:tcW w:w="6618" w:type="dxa"/>
            <w:shd w:val="clear" w:color="auto" w:fill="auto"/>
            <w:vAlign w:val="center"/>
          </w:tcPr>
          <w:p w14:paraId="41F3EA53">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sz w:val="24"/>
                <w:szCs w:val="24"/>
              </w:rPr>
              <w:t>合同订立后45天</w:t>
            </w:r>
          </w:p>
        </w:tc>
      </w:tr>
      <w:tr w14:paraId="2DE6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7" w:type="dxa"/>
            <w:shd w:val="clear" w:color="auto" w:fill="auto"/>
            <w:vAlign w:val="center"/>
          </w:tcPr>
          <w:p w14:paraId="2757971E">
            <w:pPr>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7</w:t>
            </w:r>
          </w:p>
        </w:tc>
        <w:tc>
          <w:tcPr>
            <w:tcW w:w="2402" w:type="dxa"/>
            <w:shd w:val="clear" w:color="auto" w:fill="auto"/>
            <w:vAlign w:val="center"/>
          </w:tcPr>
          <w:p w14:paraId="664D2CFE">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投标有效期</w:t>
            </w:r>
          </w:p>
        </w:tc>
        <w:tc>
          <w:tcPr>
            <w:tcW w:w="6618" w:type="dxa"/>
            <w:shd w:val="clear" w:color="auto" w:fill="auto"/>
            <w:vAlign w:val="center"/>
          </w:tcPr>
          <w:p w14:paraId="39C3F6F9">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投标文件中承诺的投标有效期满足招标文件中载明的投标有效期的</w:t>
            </w:r>
          </w:p>
        </w:tc>
      </w:tr>
      <w:tr w14:paraId="1B4EF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917" w:type="dxa"/>
            <w:shd w:val="clear" w:color="auto" w:fill="auto"/>
            <w:vAlign w:val="center"/>
          </w:tcPr>
          <w:p w14:paraId="7E0DB40A">
            <w:pPr>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8</w:t>
            </w:r>
          </w:p>
        </w:tc>
        <w:tc>
          <w:tcPr>
            <w:tcW w:w="2402" w:type="dxa"/>
            <w:shd w:val="clear" w:color="auto" w:fill="auto"/>
            <w:vAlign w:val="center"/>
          </w:tcPr>
          <w:p w14:paraId="6EC0DFC9">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投标保证金</w:t>
            </w:r>
          </w:p>
        </w:tc>
        <w:tc>
          <w:tcPr>
            <w:tcW w:w="6618" w:type="dxa"/>
            <w:shd w:val="clear" w:color="auto" w:fill="auto"/>
            <w:vAlign w:val="center"/>
          </w:tcPr>
          <w:p w14:paraId="78562178">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满足招标文件要求</w:t>
            </w:r>
          </w:p>
        </w:tc>
      </w:tr>
      <w:tr w14:paraId="77E8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7" w:type="dxa"/>
            <w:shd w:val="clear" w:color="auto" w:fill="auto"/>
            <w:vAlign w:val="center"/>
          </w:tcPr>
          <w:p w14:paraId="3F833DAB">
            <w:pPr>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9</w:t>
            </w:r>
          </w:p>
        </w:tc>
        <w:tc>
          <w:tcPr>
            <w:tcW w:w="2402" w:type="dxa"/>
            <w:shd w:val="clear" w:color="auto" w:fill="auto"/>
            <w:vAlign w:val="center"/>
          </w:tcPr>
          <w:p w14:paraId="28E19673">
            <w:pPr>
              <w:autoSpaceDE w:val="0"/>
              <w:autoSpaceDN w:val="0"/>
              <w:adjustRightInd w:val="0"/>
              <w:spacing w:line="360" w:lineRule="auto"/>
              <w:rPr>
                <w:rFonts w:hint="eastAsia" w:ascii="宋体" w:hAnsi="宋体" w:cs="宋体"/>
                <w:bCs/>
                <w:color w:val="000000"/>
                <w:sz w:val="24"/>
                <w:szCs w:val="24"/>
              </w:rPr>
            </w:pPr>
            <w:r>
              <w:rPr>
                <w:rFonts w:hint="eastAsia" w:ascii="宋体" w:hAnsi="宋体" w:cs="宋体"/>
                <w:bCs/>
                <w:color w:val="000000"/>
                <w:sz w:val="24"/>
                <w:szCs w:val="24"/>
              </w:rPr>
              <w:t>采购需求</w:t>
            </w:r>
          </w:p>
        </w:tc>
        <w:tc>
          <w:tcPr>
            <w:tcW w:w="6618" w:type="dxa"/>
            <w:shd w:val="clear" w:color="auto" w:fill="auto"/>
            <w:vAlign w:val="center"/>
          </w:tcPr>
          <w:p w14:paraId="71557EA2">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符合招标文件“采购需求”规定</w:t>
            </w:r>
          </w:p>
        </w:tc>
      </w:tr>
      <w:tr w14:paraId="5010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7" w:type="dxa"/>
            <w:vAlign w:val="center"/>
          </w:tcPr>
          <w:p w14:paraId="1BDF48B2">
            <w:pPr>
              <w:autoSpaceDE w:val="0"/>
              <w:autoSpaceDN w:val="0"/>
              <w:adjustRightInd w:val="0"/>
              <w:spacing w:line="360" w:lineRule="auto"/>
              <w:jc w:val="center"/>
              <w:rPr>
                <w:rFonts w:hint="eastAsia" w:ascii="宋体" w:hAnsi="宋体" w:cs="宋体"/>
                <w:bCs/>
                <w:sz w:val="24"/>
                <w:szCs w:val="24"/>
              </w:rPr>
            </w:pPr>
            <w:r>
              <w:rPr>
                <w:rFonts w:hint="eastAsia" w:ascii="宋体" w:hAnsi="宋体" w:cs="宋体"/>
                <w:bCs/>
                <w:sz w:val="24"/>
                <w:szCs w:val="24"/>
              </w:rPr>
              <w:t>10</w:t>
            </w:r>
          </w:p>
        </w:tc>
        <w:tc>
          <w:tcPr>
            <w:tcW w:w="2402" w:type="dxa"/>
            <w:shd w:val="clear" w:color="auto" w:fill="auto"/>
            <w:vAlign w:val="center"/>
          </w:tcPr>
          <w:p w14:paraId="5FF494BA">
            <w:pPr>
              <w:widowControl/>
              <w:rPr>
                <w:rFonts w:hint="eastAsia" w:ascii="宋体" w:hAnsi="宋体" w:cs="宋体"/>
                <w:bCs/>
                <w:color w:val="000000"/>
                <w:sz w:val="24"/>
                <w:szCs w:val="24"/>
                <w:lang w:val="zh-CN"/>
              </w:rPr>
            </w:pPr>
            <w:r>
              <w:rPr>
                <w:rFonts w:hint="eastAsia" w:ascii="宋体" w:hAnsi="宋体" w:cs="宋体"/>
                <w:color w:val="000000"/>
                <w:kern w:val="0"/>
                <w:sz w:val="24"/>
                <w:szCs w:val="24"/>
                <w:lang w:bidi="ar"/>
              </w:rPr>
              <w:t>其他无效情形</w:t>
            </w:r>
          </w:p>
        </w:tc>
        <w:tc>
          <w:tcPr>
            <w:tcW w:w="6618" w:type="dxa"/>
            <w:shd w:val="clear" w:color="auto" w:fill="auto"/>
            <w:vAlign w:val="center"/>
          </w:tcPr>
          <w:p w14:paraId="44FA8906">
            <w:pPr>
              <w:widowControl/>
            </w:pPr>
            <w:r>
              <w:rPr>
                <w:rFonts w:hint="eastAsia" w:ascii="宋体" w:hAnsi="宋体" w:cs="宋体"/>
                <w:color w:val="000000"/>
                <w:kern w:val="0"/>
                <w:sz w:val="24"/>
                <w:szCs w:val="24"/>
                <w:lang w:bidi="ar"/>
              </w:rPr>
              <w:t xml:space="preserve">投标人、投标文件不存在不符合法律、法规和招标文件规定的 </w:t>
            </w:r>
          </w:p>
          <w:p w14:paraId="5A6782C5">
            <w:pPr>
              <w:widowControl/>
              <w:rPr>
                <w:rFonts w:hint="eastAsia" w:ascii="宋体" w:hAnsi="宋体" w:cs="宋体"/>
                <w:bCs/>
                <w:color w:val="000000"/>
                <w:sz w:val="24"/>
                <w:szCs w:val="24"/>
                <w:lang w:val="zh-CN"/>
              </w:rPr>
            </w:pPr>
            <w:r>
              <w:rPr>
                <w:rFonts w:hint="eastAsia" w:ascii="宋体" w:hAnsi="宋体" w:cs="宋体"/>
                <w:color w:val="000000"/>
                <w:kern w:val="0"/>
                <w:sz w:val="24"/>
                <w:szCs w:val="24"/>
                <w:lang w:bidi="ar"/>
              </w:rPr>
              <w:t>其他无效情形。</w:t>
            </w:r>
          </w:p>
        </w:tc>
      </w:tr>
      <w:tr w14:paraId="69A3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17" w:type="dxa"/>
          </w:tcPr>
          <w:p w14:paraId="29CB4615">
            <w:pPr>
              <w:spacing w:before="65" w:line="360" w:lineRule="auto"/>
              <w:ind w:left="137"/>
              <w:rPr>
                <w:rFonts w:hint="eastAsia" w:ascii="宋体" w:hAnsi="宋体" w:cs="宋体"/>
                <w:bCs/>
                <w:color w:val="000000"/>
                <w:sz w:val="24"/>
                <w:szCs w:val="24"/>
                <w:lang w:val="zh-CN"/>
              </w:rPr>
            </w:pPr>
            <w:r>
              <w:rPr>
                <w:rFonts w:hint="eastAsia" w:ascii="宋体" w:hAnsi="宋体" w:cs="宋体"/>
                <w:spacing w:val="4"/>
                <w:sz w:val="24"/>
                <w:szCs w:val="24"/>
              </w:rPr>
              <w:t>备</w:t>
            </w:r>
            <w:r>
              <w:rPr>
                <w:rFonts w:hint="eastAsia" w:ascii="宋体" w:hAnsi="宋体" w:cs="宋体"/>
                <w:spacing w:val="3"/>
                <w:sz w:val="24"/>
                <w:szCs w:val="24"/>
              </w:rPr>
              <w:t>注</w:t>
            </w:r>
          </w:p>
        </w:tc>
        <w:tc>
          <w:tcPr>
            <w:tcW w:w="9020" w:type="dxa"/>
            <w:gridSpan w:val="2"/>
          </w:tcPr>
          <w:p w14:paraId="764C569D">
            <w:pPr>
              <w:spacing w:line="360" w:lineRule="auto"/>
              <w:rPr>
                <w:rFonts w:hint="eastAsia" w:ascii="宋体" w:hAnsi="宋体" w:cs="宋体"/>
                <w:sz w:val="24"/>
                <w:szCs w:val="24"/>
                <w:lang w:val="zh-CN"/>
              </w:rPr>
            </w:pPr>
            <w:r>
              <w:rPr>
                <w:rFonts w:hint="eastAsia" w:ascii="宋体" w:hAnsi="宋体" w:cs="宋体"/>
                <w:sz w:val="24"/>
                <w:szCs w:val="24"/>
              </w:rPr>
              <w:t>以上各项有 1 项不合格，评审不予通过，作为未实质性响应招标文件。</w:t>
            </w:r>
          </w:p>
        </w:tc>
      </w:tr>
    </w:tbl>
    <w:p w14:paraId="474BEF84">
      <w:pPr>
        <w:pStyle w:val="3"/>
        <w:spacing w:line="240" w:lineRule="auto"/>
        <w:rPr>
          <w:rFonts w:hint="eastAsia" w:ascii="宋体" w:hAnsi="宋体" w:eastAsia="宋体" w:cs="宋体"/>
          <w:b w:val="0"/>
          <w:bCs w:val="0"/>
          <w:sz w:val="24"/>
          <w:szCs w:val="24"/>
        </w:rPr>
      </w:pPr>
    </w:p>
    <w:p w14:paraId="473070F8">
      <w:pPr>
        <w:rPr>
          <w:rFonts w:hint="eastAsia" w:ascii="宋体" w:hAnsi="宋体" w:cs="宋体"/>
          <w:sz w:val="24"/>
          <w:szCs w:val="24"/>
        </w:rPr>
      </w:pPr>
    </w:p>
    <w:p w14:paraId="286AC804">
      <w:pPr>
        <w:pStyle w:val="3"/>
        <w:rPr>
          <w:rFonts w:hint="eastAsia" w:ascii="宋体" w:hAnsi="宋体" w:eastAsia="宋体" w:cs="宋体"/>
          <w:b w:val="0"/>
          <w:bCs w:val="0"/>
          <w:sz w:val="24"/>
          <w:szCs w:val="24"/>
        </w:rPr>
      </w:pPr>
    </w:p>
    <w:p w14:paraId="238806D7">
      <w:pPr>
        <w:rPr>
          <w:rFonts w:hint="eastAsia" w:ascii="宋体" w:hAnsi="宋体" w:cs="宋体"/>
          <w:sz w:val="24"/>
          <w:szCs w:val="24"/>
        </w:rPr>
      </w:pPr>
    </w:p>
    <w:p w14:paraId="347B213A">
      <w:pPr>
        <w:pStyle w:val="3"/>
        <w:rPr>
          <w:rFonts w:hint="eastAsia" w:ascii="宋体" w:hAnsi="宋体" w:eastAsia="宋体" w:cs="宋体"/>
          <w:b w:val="0"/>
          <w:bCs w:val="0"/>
          <w:sz w:val="24"/>
          <w:szCs w:val="24"/>
        </w:rPr>
      </w:pPr>
    </w:p>
    <w:p w14:paraId="72B66D9B">
      <w:pPr>
        <w:rPr>
          <w:rFonts w:hint="eastAsia" w:ascii="宋体" w:hAnsi="宋体" w:cs="宋体"/>
          <w:sz w:val="24"/>
          <w:szCs w:val="24"/>
        </w:rPr>
      </w:pPr>
    </w:p>
    <w:p w14:paraId="5B97D4B5">
      <w:pPr>
        <w:rPr>
          <w:rFonts w:hint="eastAsia" w:ascii="宋体" w:hAnsi="宋体" w:cs="宋体"/>
          <w:sz w:val="24"/>
          <w:szCs w:val="24"/>
        </w:rPr>
      </w:pPr>
    </w:p>
    <w:p w14:paraId="6AC81844">
      <w:pPr>
        <w:pStyle w:val="3"/>
        <w:spacing w:line="240" w:lineRule="auto"/>
        <w:rPr>
          <w:rFonts w:hint="eastAsia" w:ascii="宋体" w:hAnsi="宋体" w:eastAsia="宋体" w:cs="宋体"/>
          <w:sz w:val="24"/>
          <w:szCs w:val="24"/>
        </w:rPr>
      </w:pPr>
      <w:r>
        <w:rPr>
          <w:rFonts w:hint="eastAsia" w:ascii="宋体" w:hAnsi="宋体" w:eastAsia="宋体" w:cs="宋体"/>
          <w:sz w:val="24"/>
          <w:szCs w:val="24"/>
        </w:rPr>
        <w:t>3.综合评分明细表 (满分 100 分)</w:t>
      </w:r>
    </w:p>
    <w:tbl>
      <w:tblPr>
        <w:tblStyle w:val="21"/>
        <w:tblW w:w="4973"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735"/>
        <w:gridCol w:w="6544"/>
        <w:gridCol w:w="1040"/>
        <w:gridCol w:w="1087"/>
      </w:tblGrid>
      <w:tr w14:paraId="2D7B3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tcBorders>
              <w:top w:val="single" w:color="auto" w:sz="8" w:space="0"/>
              <w:left w:val="single" w:color="auto" w:sz="8" w:space="0"/>
              <w:bottom w:val="single" w:color="auto" w:sz="4" w:space="0"/>
              <w:right w:val="single" w:color="auto" w:sz="4" w:space="0"/>
            </w:tcBorders>
            <w:vAlign w:val="center"/>
          </w:tcPr>
          <w:p w14:paraId="1957D3DA">
            <w:pPr>
              <w:autoSpaceDE w:val="0"/>
              <w:autoSpaceDN w:val="0"/>
              <w:adjustRightInd w:val="0"/>
              <w:jc w:val="center"/>
              <w:rPr>
                <w:rFonts w:hint="eastAsia" w:ascii="宋体" w:hAnsi="宋体" w:cs="宋体"/>
                <w:sz w:val="24"/>
                <w:szCs w:val="24"/>
                <w:lang w:val="zh-CN"/>
              </w:rPr>
            </w:pPr>
            <w:r>
              <w:rPr>
                <w:rFonts w:hint="eastAsia" w:ascii="宋体" w:hAnsi="宋体" w:cs="宋体"/>
                <w:sz w:val="24"/>
                <w:szCs w:val="24"/>
                <w:lang w:val="zh-CN"/>
              </w:rPr>
              <w:t>序号</w:t>
            </w:r>
          </w:p>
        </w:tc>
        <w:tc>
          <w:tcPr>
            <w:tcW w:w="371" w:type="pct"/>
            <w:tcBorders>
              <w:top w:val="single" w:color="auto" w:sz="8" w:space="0"/>
              <w:left w:val="single" w:color="auto" w:sz="4" w:space="0"/>
              <w:bottom w:val="single" w:color="auto" w:sz="4" w:space="0"/>
              <w:right w:val="single" w:color="auto" w:sz="4" w:space="0"/>
            </w:tcBorders>
            <w:vAlign w:val="center"/>
          </w:tcPr>
          <w:p w14:paraId="59672271">
            <w:pPr>
              <w:autoSpaceDE w:val="0"/>
              <w:autoSpaceDN w:val="0"/>
              <w:adjustRightInd w:val="0"/>
              <w:jc w:val="center"/>
              <w:rPr>
                <w:rFonts w:hint="eastAsia" w:ascii="宋体" w:hAnsi="宋体" w:cs="宋体"/>
                <w:sz w:val="24"/>
                <w:szCs w:val="24"/>
                <w:lang w:val="zh-CN"/>
              </w:rPr>
            </w:pPr>
            <w:r>
              <w:rPr>
                <w:rFonts w:hint="eastAsia" w:ascii="宋体" w:hAnsi="宋体" w:cs="宋体"/>
                <w:sz w:val="24"/>
                <w:szCs w:val="24"/>
              </w:rPr>
              <w:t>类型</w:t>
            </w:r>
          </w:p>
        </w:tc>
        <w:tc>
          <w:tcPr>
            <w:tcW w:w="3302" w:type="pct"/>
            <w:tcBorders>
              <w:top w:val="single" w:color="auto" w:sz="8" w:space="0"/>
              <w:left w:val="single" w:color="auto" w:sz="4" w:space="0"/>
              <w:bottom w:val="single" w:color="auto" w:sz="4" w:space="0"/>
              <w:right w:val="single" w:color="auto" w:sz="4" w:space="0"/>
            </w:tcBorders>
            <w:vAlign w:val="center"/>
          </w:tcPr>
          <w:p w14:paraId="64A1377E">
            <w:pPr>
              <w:autoSpaceDE w:val="0"/>
              <w:autoSpaceDN w:val="0"/>
              <w:adjustRightInd w:val="0"/>
              <w:jc w:val="center"/>
              <w:rPr>
                <w:rFonts w:hint="eastAsia" w:ascii="宋体" w:hAnsi="宋体" w:cs="宋体"/>
                <w:sz w:val="24"/>
                <w:szCs w:val="24"/>
                <w:lang w:val="zh-CN"/>
              </w:rPr>
            </w:pPr>
            <w:r>
              <w:rPr>
                <w:rFonts w:hint="eastAsia" w:ascii="宋体" w:hAnsi="宋体" w:cs="宋体"/>
                <w:sz w:val="24"/>
                <w:szCs w:val="24"/>
                <w:lang w:val="zh-CN"/>
              </w:rPr>
              <w:t>评分标准</w:t>
            </w:r>
          </w:p>
        </w:tc>
        <w:tc>
          <w:tcPr>
            <w:tcW w:w="525" w:type="pct"/>
            <w:tcBorders>
              <w:top w:val="single" w:color="auto" w:sz="8" w:space="0"/>
              <w:left w:val="single" w:color="auto" w:sz="4" w:space="0"/>
              <w:bottom w:val="single" w:color="auto" w:sz="4" w:space="0"/>
              <w:right w:val="single" w:color="auto" w:sz="4" w:space="0"/>
            </w:tcBorders>
            <w:vAlign w:val="center"/>
          </w:tcPr>
          <w:p w14:paraId="17DAD2F0">
            <w:pPr>
              <w:autoSpaceDE w:val="0"/>
              <w:autoSpaceDN w:val="0"/>
              <w:adjustRightInd w:val="0"/>
              <w:jc w:val="center"/>
              <w:rPr>
                <w:rFonts w:hint="eastAsia" w:ascii="宋体" w:hAnsi="宋体" w:cs="宋体"/>
                <w:sz w:val="24"/>
                <w:szCs w:val="24"/>
                <w:lang w:val="zh-CN"/>
              </w:rPr>
            </w:pPr>
            <w:r>
              <w:rPr>
                <w:rFonts w:hint="eastAsia" w:ascii="宋体" w:hAnsi="宋体" w:cs="宋体"/>
                <w:sz w:val="24"/>
                <w:szCs w:val="24"/>
                <w:lang w:val="zh-CN"/>
              </w:rPr>
              <w:t>分值权重</w:t>
            </w:r>
          </w:p>
        </w:tc>
        <w:tc>
          <w:tcPr>
            <w:tcW w:w="548" w:type="pct"/>
            <w:tcBorders>
              <w:top w:val="single" w:color="auto" w:sz="8" w:space="0"/>
              <w:left w:val="single" w:color="auto" w:sz="4" w:space="0"/>
              <w:bottom w:val="single" w:color="auto" w:sz="4" w:space="0"/>
              <w:right w:val="single" w:color="auto" w:sz="8" w:space="0"/>
            </w:tcBorders>
            <w:vAlign w:val="center"/>
          </w:tcPr>
          <w:p w14:paraId="40DB05D2">
            <w:pPr>
              <w:autoSpaceDE w:val="0"/>
              <w:autoSpaceDN w:val="0"/>
              <w:adjustRightInd w:val="0"/>
              <w:jc w:val="center"/>
              <w:rPr>
                <w:rFonts w:hint="eastAsia" w:ascii="宋体" w:hAnsi="宋体" w:cs="宋体"/>
                <w:sz w:val="24"/>
                <w:szCs w:val="24"/>
                <w:lang w:val="zh-CN"/>
              </w:rPr>
            </w:pPr>
            <w:r>
              <w:rPr>
                <w:rFonts w:hint="eastAsia" w:ascii="宋体" w:hAnsi="宋体" w:cs="宋体"/>
                <w:sz w:val="24"/>
                <w:szCs w:val="24"/>
                <w:lang w:val="zh-CN"/>
              </w:rPr>
              <w:t>打分方法</w:t>
            </w:r>
          </w:p>
        </w:tc>
      </w:tr>
      <w:tr w14:paraId="716F4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4" w:type="pct"/>
            <w:tcBorders>
              <w:top w:val="single" w:color="auto" w:sz="4" w:space="0"/>
              <w:left w:val="single" w:color="auto" w:sz="8" w:space="0"/>
              <w:bottom w:val="single" w:color="auto" w:sz="4" w:space="0"/>
              <w:right w:val="single" w:color="auto" w:sz="4" w:space="0"/>
            </w:tcBorders>
            <w:vAlign w:val="center"/>
          </w:tcPr>
          <w:p w14:paraId="6A32E14F">
            <w:pPr>
              <w:jc w:val="center"/>
              <w:rPr>
                <w:rFonts w:hint="eastAsia" w:ascii="宋体" w:hAnsi="宋体" w:cs="宋体"/>
                <w:sz w:val="24"/>
                <w:szCs w:val="24"/>
              </w:rPr>
            </w:pPr>
            <w:r>
              <w:rPr>
                <w:rFonts w:hint="eastAsia" w:ascii="宋体" w:hAnsi="宋体" w:cs="宋体"/>
                <w:sz w:val="24"/>
                <w:szCs w:val="24"/>
              </w:rPr>
              <w:t>1</w:t>
            </w:r>
          </w:p>
        </w:tc>
        <w:tc>
          <w:tcPr>
            <w:tcW w:w="371" w:type="pct"/>
            <w:tcBorders>
              <w:top w:val="single" w:color="auto" w:sz="4" w:space="0"/>
              <w:left w:val="single" w:color="auto" w:sz="4" w:space="0"/>
              <w:bottom w:val="single" w:color="auto" w:sz="4" w:space="0"/>
              <w:right w:val="single" w:color="auto" w:sz="4" w:space="0"/>
            </w:tcBorders>
            <w:vAlign w:val="center"/>
          </w:tcPr>
          <w:p w14:paraId="3CFA915B">
            <w:pPr>
              <w:jc w:val="center"/>
              <w:rPr>
                <w:rFonts w:hint="eastAsia" w:ascii="宋体" w:hAnsi="宋体" w:cs="宋体"/>
                <w:sz w:val="24"/>
                <w:szCs w:val="24"/>
              </w:rPr>
            </w:pPr>
            <w:r>
              <w:rPr>
                <w:rFonts w:hint="eastAsia" w:ascii="宋体" w:hAnsi="宋体" w:cs="宋体"/>
                <w:sz w:val="24"/>
                <w:szCs w:val="24"/>
              </w:rPr>
              <w:t>报价</w:t>
            </w:r>
          </w:p>
        </w:tc>
        <w:tc>
          <w:tcPr>
            <w:tcW w:w="3302" w:type="pct"/>
            <w:tcBorders>
              <w:top w:val="single" w:color="auto" w:sz="4" w:space="0"/>
              <w:left w:val="single" w:color="auto" w:sz="4" w:space="0"/>
              <w:bottom w:val="single" w:color="auto" w:sz="4" w:space="0"/>
              <w:right w:val="single" w:color="auto" w:sz="4" w:space="0"/>
            </w:tcBorders>
          </w:tcPr>
          <w:p w14:paraId="73A71AFC">
            <w:pPr>
              <w:jc w:val="left"/>
              <w:rPr>
                <w:rFonts w:hint="eastAsia" w:ascii="宋体" w:hAnsi="宋体" w:cs="宋体"/>
                <w:sz w:val="24"/>
                <w:szCs w:val="24"/>
              </w:rPr>
            </w:pPr>
            <w:r>
              <w:rPr>
                <w:rFonts w:hint="eastAsia" w:ascii="宋体" w:hAnsi="宋体" w:cs="宋体"/>
                <w:color w:val="000000" w:themeColor="text1"/>
                <w:sz w:val="24"/>
                <w:szCs w:val="24"/>
                <w14:textFill>
                  <w14:solidFill>
                    <w14:schemeClr w14:val="tx1"/>
                  </w14:solidFill>
                </w14:textFill>
              </w:rPr>
              <w:t>投标报价得分：以按照招标文件规定修正后的所有合格投标人的评标价的最低价作为评分基准价。投标人的价格分按下式计算：报价得分=</w:t>
            </w:r>
            <w:r>
              <w:rPr>
                <w:rFonts w:hint="eastAsia" w:ascii="宋体" w:hAnsi="宋体" w:cs="宋体"/>
                <w:color w:val="000000"/>
                <w:sz w:val="24"/>
                <w:szCs w:val="24"/>
              </w:rPr>
              <w:t>（评标基准价/投标报价）×价格权值（30%）×100</w:t>
            </w:r>
            <w:r>
              <w:rPr>
                <w:rFonts w:hint="eastAsia" w:ascii="宋体" w:hAnsi="宋体" w:cs="宋体"/>
                <w:color w:val="000000" w:themeColor="text1"/>
                <w:sz w:val="24"/>
                <w:szCs w:val="24"/>
                <w14:textFill>
                  <w14:solidFill>
                    <w14:schemeClr w14:val="tx1"/>
                  </w14:solidFill>
                </w14:textFill>
              </w:rPr>
              <w:t>。</w:t>
            </w:r>
          </w:p>
        </w:tc>
        <w:tc>
          <w:tcPr>
            <w:tcW w:w="525" w:type="pct"/>
            <w:tcBorders>
              <w:top w:val="single" w:color="auto" w:sz="4" w:space="0"/>
              <w:left w:val="single" w:color="auto" w:sz="4" w:space="0"/>
              <w:bottom w:val="single" w:color="auto" w:sz="4" w:space="0"/>
              <w:right w:val="single" w:color="auto" w:sz="4" w:space="0"/>
            </w:tcBorders>
            <w:vAlign w:val="center"/>
          </w:tcPr>
          <w:p w14:paraId="6CC327F6">
            <w:pPr>
              <w:jc w:val="center"/>
              <w:rPr>
                <w:rFonts w:hint="eastAsia" w:ascii="宋体" w:hAnsi="宋体" w:cs="宋体"/>
                <w:sz w:val="24"/>
                <w:szCs w:val="24"/>
              </w:rPr>
            </w:pPr>
            <w:r>
              <w:rPr>
                <w:rFonts w:hint="eastAsia" w:ascii="宋体" w:hAnsi="宋体" w:cs="宋体"/>
                <w:sz w:val="24"/>
                <w:szCs w:val="24"/>
              </w:rPr>
              <w:t>0-30</w:t>
            </w:r>
            <w:r>
              <w:rPr>
                <w:rFonts w:hint="eastAsia" w:ascii="宋体" w:hAnsi="宋体" w:cs="宋体"/>
                <w:color w:val="000000"/>
                <w:sz w:val="24"/>
                <w:szCs w:val="24"/>
              </w:rPr>
              <w:t>分</w:t>
            </w:r>
          </w:p>
        </w:tc>
        <w:tc>
          <w:tcPr>
            <w:tcW w:w="548" w:type="pct"/>
            <w:tcBorders>
              <w:top w:val="single" w:color="auto" w:sz="4" w:space="0"/>
              <w:left w:val="single" w:color="auto" w:sz="4" w:space="0"/>
              <w:bottom w:val="single" w:color="auto" w:sz="4" w:space="0"/>
              <w:right w:val="single" w:color="auto" w:sz="8" w:space="0"/>
            </w:tcBorders>
            <w:vAlign w:val="center"/>
          </w:tcPr>
          <w:p w14:paraId="15E0F04C">
            <w:pPr>
              <w:jc w:val="center"/>
              <w:rPr>
                <w:rFonts w:hint="eastAsia" w:ascii="宋体" w:hAnsi="宋体" w:cs="宋体"/>
                <w:sz w:val="24"/>
                <w:szCs w:val="24"/>
              </w:rPr>
            </w:pPr>
            <w:r>
              <w:rPr>
                <w:rFonts w:hint="eastAsia" w:ascii="宋体" w:hAnsi="宋体" w:cs="宋体"/>
                <w:sz w:val="24"/>
                <w:szCs w:val="24"/>
              </w:rPr>
              <w:t>客观分</w:t>
            </w:r>
          </w:p>
        </w:tc>
      </w:tr>
      <w:tr w14:paraId="74FC7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54" w:type="pct"/>
            <w:tcBorders>
              <w:top w:val="single" w:color="auto" w:sz="4" w:space="0"/>
              <w:left w:val="single" w:color="auto" w:sz="8" w:space="0"/>
              <w:right w:val="single" w:color="auto" w:sz="4" w:space="0"/>
            </w:tcBorders>
            <w:vAlign w:val="center"/>
          </w:tcPr>
          <w:p w14:paraId="54AAECCD">
            <w:pPr>
              <w:adjustRightInd w:val="0"/>
              <w:snapToGrid w:val="0"/>
              <w:jc w:val="center"/>
              <w:rPr>
                <w:rFonts w:hint="eastAsia" w:ascii="宋体" w:hAnsi="宋体" w:cs="宋体"/>
                <w:sz w:val="24"/>
                <w:szCs w:val="24"/>
              </w:rPr>
            </w:pPr>
            <w:r>
              <w:rPr>
                <w:rFonts w:hint="eastAsia" w:ascii="宋体" w:hAnsi="宋体" w:cs="宋体"/>
                <w:sz w:val="24"/>
                <w:szCs w:val="24"/>
              </w:rPr>
              <w:t>2</w:t>
            </w:r>
          </w:p>
        </w:tc>
        <w:tc>
          <w:tcPr>
            <w:tcW w:w="371" w:type="pct"/>
            <w:tcBorders>
              <w:top w:val="single" w:color="auto" w:sz="4" w:space="0"/>
              <w:left w:val="single" w:color="auto" w:sz="4" w:space="0"/>
              <w:right w:val="single" w:color="auto" w:sz="4" w:space="0"/>
            </w:tcBorders>
            <w:vAlign w:val="center"/>
          </w:tcPr>
          <w:p w14:paraId="3C4B5ECC">
            <w:pPr>
              <w:autoSpaceDE w:val="0"/>
              <w:autoSpaceDN w:val="0"/>
              <w:adjustRightInd w:val="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技术</w:t>
            </w:r>
          </w:p>
        </w:tc>
        <w:tc>
          <w:tcPr>
            <w:tcW w:w="3302" w:type="pct"/>
            <w:tcBorders>
              <w:top w:val="single" w:color="auto" w:sz="4" w:space="0"/>
              <w:left w:val="single" w:color="auto" w:sz="4" w:space="0"/>
              <w:bottom w:val="single" w:color="auto" w:sz="4" w:space="0"/>
              <w:right w:val="single" w:color="auto" w:sz="4" w:space="0"/>
            </w:tcBorders>
          </w:tcPr>
          <w:p w14:paraId="1D8C2BE6">
            <w:pPr>
              <w:widowControl/>
              <w:textAlignment w:val="center"/>
              <w:rPr>
                <w:rFonts w:hint="eastAsia" w:ascii="宋体" w:hAnsi="宋体" w:cs="宋体"/>
                <w:color w:val="auto"/>
                <w:kern w:val="0"/>
                <w:sz w:val="24"/>
                <w:szCs w:val="24"/>
                <w:lang w:bidi="ar"/>
              </w:rPr>
            </w:pPr>
            <w:bookmarkStart w:id="16" w:name="OLE_LINK1"/>
            <w:r>
              <w:rPr>
                <w:rFonts w:hint="eastAsia" w:ascii="宋体" w:hAnsi="宋体" w:cs="宋体"/>
                <w:color w:val="auto"/>
                <w:kern w:val="0"/>
                <w:sz w:val="24"/>
                <w:szCs w:val="24"/>
                <w:lang w:bidi="ar"/>
              </w:rPr>
              <w:t>纯电动全车实训系统</w:t>
            </w:r>
          </w:p>
          <w:bookmarkEnd w:id="16"/>
          <w:p w14:paraId="257CD0ED">
            <w:pPr>
              <w:widowControl/>
              <w:textAlignment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 xml:space="preserve">一、提供实训室管理系统： </w:t>
            </w:r>
          </w:p>
          <w:p w14:paraId="4067DAAE">
            <w:pP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1.支持登录角色账户分权管理包含管理员、教师、学生三端、可自主注册教师及学生登录账号。(投标文件中需提供此项功能截图并加盖投标人公章，提供符合要求的得0.5分，不提供不得分。)</w:t>
            </w:r>
          </w:p>
          <w:p w14:paraId="6B3D2318">
            <w:pPr>
              <w:rPr>
                <w:rFonts w:ascii="宋体" w:hAnsi="宋体" w:cs="宋体"/>
                <w:color w:val="auto"/>
                <w:kern w:val="0"/>
                <w:sz w:val="24"/>
                <w:szCs w:val="24"/>
                <w:lang w:bidi="ar"/>
              </w:rPr>
            </w:pPr>
            <w:r>
              <w:rPr>
                <w:rFonts w:hint="eastAsia" w:ascii="宋体" w:hAnsi="宋体" w:cs="宋体"/>
                <w:color w:val="auto"/>
                <w:kern w:val="0"/>
                <w:sz w:val="24"/>
                <w:szCs w:val="24"/>
                <w:lang w:bidi="ar"/>
              </w:rPr>
              <w:t>2.提供用户管理模块：可针对各级用户进行增、删、改、查操作，提供用户相关信息包含权限名称、登陆账号、真实姓名、学号工号、学院、班级等信息，同时超级管理员可以进行相关权限管理。 (投标文件中需提供此项功能截图并加盖投标人公章，提供符合要求的得0.5分，不提供不得分。)</w:t>
            </w:r>
          </w:p>
          <w:p w14:paraId="2378406A">
            <w:pP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 xml:space="preserve">3.提供通知管理模块：添加相关通知信息、针对通知信息进行增、删、改、查操作管理。(投标文件中需提供此项功能截图并加盖投标人公章，提供符合要求的得0.5分，不提供不得分。) </w:t>
            </w:r>
          </w:p>
          <w:p w14:paraId="574BDD2D">
            <w:pP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 xml:space="preserve">4.提供实训管理模块：包含实训基本信息、实训大纲、实训预约、实训规章制度管理 ≥4 个子模块。基本信息包含名称、负责人、功能、地点、添加时间等，提供按名称负责人查询功能。预约模块提供预约申请及、取消预约，包含场地及设备预约功能。(投标文件中需提供此项功能截图并加盖投标人公章，提供符合要求的得1分，不提供不得分。) </w:t>
            </w:r>
          </w:p>
          <w:p w14:paraId="1470E9CE">
            <w:pPr>
              <w:rPr>
                <w:rFonts w:ascii="宋体" w:hAnsi="宋体" w:cs="宋体"/>
                <w:color w:val="auto"/>
                <w:kern w:val="0"/>
                <w:sz w:val="24"/>
                <w:szCs w:val="24"/>
                <w:lang w:bidi="ar"/>
              </w:rPr>
            </w:pPr>
            <w:r>
              <w:rPr>
                <w:rFonts w:hint="eastAsia" w:ascii="宋体" w:hAnsi="宋体" w:cs="宋体"/>
                <w:color w:val="auto"/>
                <w:kern w:val="0"/>
                <w:sz w:val="24"/>
                <w:szCs w:val="24"/>
                <w:lang w:bidi="ar"/>
              </w:rPr>
              <w:t>5.提供课程与设备管理模块：包含课程与设备详情、管理≥ 2个子模块。其中课程与设备可添加对应课程及设备相关信息等内容，管理可添加对应图片等说明。 (投标文件中需提供此项功能截图并加盖投标人公章，提供符合要求的得1分，不提供不得分。)</w:t>
            </w:r>
          </w:p>
          <w:p w14:paraId="4AC6513D">
            <w:pPr>
              <w:rPr>
                <w:rFonts w:ascii="宋体" w:hAnsi="宋体" w:cs="宋体"/>
                <w:color w:val="auto"/>
                <w:kern w:val="0"/>
                <w:sz w:val="24"/>
                <w:szCs w:val="24"/>
                <w:lang w:bidi="ar"/>
              </w:rPr>
            </w:pPr>
            <w:r>
              <w:rPr>
                <w:rFonts w:hint="eastAsia" w:ascii="宋体" w:hAnsi="宋体" w:cs="宋体"/>
                <w:color w:val="auto"/>
                <w:kern w:val="0"/>
                <w:sz w:val="24"/>
                <w:szCs w:val="24"/>
                <w:lang w:bidi="ar"/>
              </w:rPr>
              <w:t>6.提供设备借用管理模块：实现借用设备及归还设备管理。(投标文件中需提供此项功能截图并加盖投标人公章，提供符合要求的得0.5分，不提供不得分。)</w:t>
            </w:r>
          </w:p>
          <w:p w14:paraId="35275CFD">
            <w:pPr>
              <w:rPr>
                <w:rFonts w:ascii="宋体" w:hAnsi="宋体" w:cs="宋体"/>
                <w:color w:val="auto"/>
                <w:kern w:val="0"/>
                <w:sz w:val="24"/>
                <w:szCs w:val="24"/>
                <w:lang w:bidi="ar"/>
              </w:rPr>
            </w:pPr>
            <w:r>
              <w:rPr>
                <w:rFonts w:hint="eastAsia" w:ascii="宋体" w:hAnsi="宋体" w:cs="宋体"/>
                <w:color w:val="auto"/>
                <w:kern w:val="0"/>
                <w:sz w:val="24"/>
                <w:szCs w:val="24"/>
                <w:lang w:bidi="ar"/>
              </w:rPr>
              <w:t>7.提供设备维修管理模块：提供维修管理子模块：包含设备基本信息、报修信息添加、是否维修状态管理等功能。提供报修日志管理子模块，统计维修详情、支持导出表格。(投标文件中需提供此项功能截图并加盖投标人公章，提供符合要求的得0.5分，不提供不得分。)</w:t>
            </w:r>
          </w:p>
          <w:p w14:paraId="422728DB">
            <w:pPr>
              <w:rPr>
                <w:rFonts w:ascii="宋体" w:hAnsi="宋体" w:cs="宋体"/>
                <w:color w:val="auto"/>
                <w:kern w:val="0"/>
                <w:sz w:val="24"/>
                <w:szCs w:val="24"/>
                <w:lang w:bidi="ar"/>
              </w:rPr>
            </w:pPr>
            <w:r>
              <w:rPr>
                <w:rFonts w:hint="eastAsia" w:ascii="宋体" w:hAnsi="宋体" w:cs="宋体"/>
                <w:color w:val="auto"/>
                <w:kern w:val="0"/>
                <w:sz w:val="24"/>
                <w:szCs w:val="24"/>
                <w:lang w:bidi="ar"/>
              </w:rPr>
              <w:t>8.提供报表统计功能模块：包含实训预约人统计表子模块以及借用统计表模块，提供通过名称、预约人查询功能。(投标文件中需提供此项功能截图并加盖投标人公章，提供符合要求的得0.5分，不提供不得分。)</w:t>
            </w:r>
          </w:p>
          <w:p w14:paraId="0AFB8FAC">
            <w:pPr>
              <w:widowControl/>
              <w:textAlignment w:val="center"/>
              <w:rPr>
                <w:rFonts w:hint="eastAsia" w:ascii="宋体" w:hAnsi="宋体" w:cs="宋体"/>
                <w:b/>
                <w:bCs/>
                <w:color w:val="auto"/>
                <w:kern w:val="0"/>
                <w:sz w:val="24"/>
                <w:szCs w:val="24"/>
                <w:lang w:bidi="ar"/>
              </w:rPr>
            </w:pPr>
            <w:r>
              <w:rPr>
                <w:rFonts w:hint="eastAsia" w:ascii="宋体" w:hAnsi="宋体" w:cs="宋体"/>
                <w:color w:val="auto"/>
                <w:kern w:val="0"/>
                <w:sz w:val="24"/>
                <w:szCs w:val="24"/>
                <w:lang w:bidi="ar"/>
              </w:rPr>
              <w:t>9.提供耗材管理列表：耗材名录、提供耗材型号、库存数量、消耗数量、消耗原因、耗材低库存量预警提示。(投标文件中需提供此项功能截图并加盖投标人公章，提供符合要求的得1分，不提供不得分。)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6FC378DF">
            <w:pPr>
              <w:pStyle w:val="3"/>
              <w:spacing w:before="0" w:after="0"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0-6分</w:t>
            </w:r>
          </w:p>
        </w:tc>
        <w:tc>
          <w:tcPr>
            <w:tcW w:w="548" w:type="pct"/>
            <w:tcBorders>
              <w:top w:val="single" w:color="auto" w:sz="4" w:space="0"/>
              <w:left w:val="single" w:color="auto" w:sz="4" w:space="0"/>
              <w:bottom w:val="single" w:color="auto" w:sz="4" w:space="0"/>
              <w:right w:val="single" w:color="auto" w:sz="8" w:space="0"/>
            </w:tcBorders>
            <w:vAlign w:val="center"/>
          </w:tcPr>
          <w:p w14:paraId="3900F67A">
            <w:pPr>
              <w:jc w:val="center"/>
              <w:rPr>
                <w:rFonts w:hint="eastAsia" w:ascii="宋体" w:hAnsi="宋体" w:cs="宋体"/>
                <w:sz w:val="24"/>
                <w:szCs w:val="24"/>
              </w:rPr>
            </w:pPr>
            <w:r>
              <w:rPr>
                <w:rFonts w:hint="eastAsia" w:ascii="宋体" w:hAnsi="宋体" w:cs="宋体"/>
                <w:sz w:val="24"/>
                <w:szCs w:val="24"/>
              </w:rPr>
              <w:t>客观分</w:t>
            </w:r>
          </w:p>
        </w:tc>
      </w:tr>
      <w:tr w14:paraId="7BD172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254" w:type="pct"/>
            <w:tcBorders>
              <w:top w:val="single" w:color="auto" w:sz="4" w:space="0"/>
              <w:left w:val="single" w:color="auto" w:sz="8" w:space="0"/>
              <w:right w:val="single" w:color="auto" w:sz="4" w:space="0"/>
            </w:tcBorders>
            <w:vAlign w:val="center"/>
          </w:tcPr>
          <w:p w14:paraId="15493C85">
            <w:pPr>
              <w:adjustRightInd w:val="0"/>
              <w:snapToGrid w:val="0"/>
              <w:jc w:val="center"/>
              <w:rPr>
                <w:rFonts w:hint="eastAsia" w:ascii="宋体" w:hAnsi="宋体" w:cs="宋体"/>
                <w:sz w:val="24"/>
                <w:szCs w:val="24"/>
              </w:rPr>
            </w:pPr>
            <w:r>
              <w:rPr>
                <w:rFonts w:hint="eastAsia" w:ascii="宋体" w:hAnsi="宋体" w:cs="宋体"/>
                <w:sz w:val="24"/>
                <w:szCs w:val="24"/>
              </w:rPr>
              <w:t>3</w:t>
            </w:r>
          </w:p>
        </w:tc>
        <w:tc>
          <w:tcPr>
            <w:tcW w:w="371" w:type="pct"/>
            <w:tcBorders>
              <w:top w:val="single" w:color="auto" w:sz="4" w:space="0"/>
              <w:left w:val="single" w:color="auto" w:sz="4" w:space="0"/>
              <w:right w:val="single" w:color="auto" w:sz="4" w:space="0"/>
            </w:tcBorders>
            <w:vAlign w:val="center"/>
          </w:tcPr>
          <w:p w14:paraId="35A36B18">
            <w:pPr>
              <w:autoSpaceDE w:val="0"/>
              <w:autoSpaceDN w:val="0"/>
              <w:adjustRightInd w:val="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技术</w:t>
            </w:r>
          </w:p>
        </w:tc>
        <w:tc>
          <w:tcPr>
            <w:tcW w:w="3302" w:type="pct"/>
            <w:tcBorders>
              <w:top w:val="single" w:color="auto" w:sz="4" w:space="0"/>
              <w:left w:val="single" w:color="auto" w:sz="4" w:space="0"/>
              <w:bottom w:val="single" w:color="auto" w:sz="4" w:space="0"/>
              <w:right w:val="single" w:color="auto" w:sz="4" w:space="0"/>
            </w:tcBorders>
          </w:tcPr>
          <w:p w14:paraId="28E77C8A">
            <w:pPr>
              <w:rPr>
                <w:rFonts w:ascii="宋体" w:hAnsi="宋体" w:cs="宋体"/>
                <w:color w:val="auto"/>
                <w:kern w:val="0"/>
                <w:sz w:val="24"/>
                <w:szCs w:val="24"/>
                <w:lang w:bidi="ar"/>
              </w:rPr>
            </w:pPr>
            <w:bookmarkStart w:id="17" w:name="OLE_LINK3"/>
            <w:r>
              <w:rPr>
                <w:rFonts w:hint="eastAsia" w:ascii="宋体" w:hAnsi="宋体" w:cs="宋体"/>
                <w:color w:val="auto"/>
                <w:kern w:val="0"/>
                <w:sz w:val="24"/>
                <w:szCs w:val="24"/>
                <w:lang w:bidi="ar"/>
              </w:rPr>
              <w:t>电池包组装实训台</w:t>
            </w:r>
          </w:p>
          <w:p w14:paraId="53A174BA">
            <w:pPr>
              <w:rPr>
                <w:rFonts w:ascii="宋体" w:hAnsi="宋体" w:cs="宋体"/>
                <w:color w:val="auto"/>
                <w:sz w:val="24"/>
                <w:szCs w:val="24"/>
              </w:rPr>
            </w:pPr>
            <w:r>
              <w:rPr>
                <w:rFonts w:hint="eastAsia" w:ascii="宋体" w:hAnsi="宋体" w:cs="宋体"/>
                <w:color w:val="auto"/>
                <w:sz w:val="24"/>
                <w:szCs w:val="24"/>
              </w:rPr>
              <w:t>电池包组装实训台智能化教学系统软件：</w:t>
            </w:r>
          </w:p>
          <w:bookmarkEnd w:id="17"/>
          <w:p w14:paraId="7407DF0E">
            <w:pPr>
              <w:rPr>
                <w:rFonts w:ascii="宋体" w:hAnsi="宋体" w:cs="宋体"/>
                <w:color w:val="auto"/>
                <w:kern w:val="0"/>
                <w:sz w:val="24"/>
                <w:szCs w:val="24"/>
                <w:lang w:bidi="ar"/>
              </w:rPr>
            </w:pPr>
            <w:r>
              <w:rPr>
                <w:rFonts w:hint="eastAsia" w:ascii="宋体" w:hAnsi="宋体" w:cs="宋体"/>
                <w:color w:val="auto"/>
                <w:kern w:val="0"/>
                <w:sz w:val="24"/>
                <w:szCs w:val="24"/>
                <w:lang w:bidi="ar"/>
              </w:rPr>
              <w:t>（1）高压板模块：可实时显示电池包放电电流、充电电流、总电压、绝缘电阻值、SOC值、电池包最高电压组、电池包最低电压组、电压差、电池组平均电压、充电机充电状态等信息，界面配有指针显示表和电池包电量显示动画。(投标文件中需提供此项功能截图并加盖投标人公章，提供符合要求的得1</w:t>
            </w:r>
            <w:r>
              <w:rPr>
                <w:rFonts w:hint="eastAsia" w:ascii="宋体" w:hAnsi="宋体" w:cs="宋体"/>
                <w:color w:val="auto"/>
                <w:kern w:val="0"/>
                <w:sz w:val="24"/>
                <w:szCs w:val="24"/>
                <w:lang w:val="en-US" w:eastAsia="zh-CN" w:bidi="ar"/>
              </w:rPr>
              <w:t>.5</w:t>
            </w:r>
            <w:r>
              <w:rPr>
                <w:rFonts w:hint="eastAsia" w:ascii="宋体" w:hAnsi="宋体" w:cs="宋体"/>
                <w:color w:val="auto"/>
                <w:kern w:val="0"/>
                <w:sz w:val="24"/>
                <w:szCs w:val="24"/>
                <w:lang w:bidi="ar"/>
              </w:rPr>
              <w:t>分，不提供不得分。)</w:t>
            </w:r>
          </w:p>
          <w:p w14:paraId="6D0513F8">
            <w:pPr>
              <w:rPr>
                <w:rFonts w:ascii="宋体" w:hAnsi="宋体" w:cs="宋体"/>
                <w:color w:val="auto"/>
                <w:kern w:val="0"/>
                <w:sz w:val="24"/>
                <w:szCs w:val="24"/>
                <w:lang w:bidi="ar"/>
              </w:rPr>
            </w:pPr>
            <w:r>
              <w:rPr>
                <w:rFonts w:hint="eastAsia" w:ascii="宋体" w:hAnsi="宋体" w:cs="宋体"/>
                <w:color w:val="auto"/>
                <w:kern w:val="0"/>
                <w:sz w:val="24"/>
                <w:szCs w:val="24"/>
                <w:lang w:bidi="ar"/>
              </w:rPr>
              <w:t>（2）电池包模块：可实时显示电池包内所有温度传感器数值并列出最高温度值和最低温度值。(投标文件中需提供此项功能截图并加盖投标人公章，提供符合要求的得1</w:t>
            </w:r>
            <w:r>
              <w:rPr>
                <w:rFonts w:hint="eastAsia" w:ascii="宋体" w:hAnsi="宋体" w:cs="宋体"/>
                <w:color w:val="auto"/>
                <w:kern w:val="0"/>
                <w:sz w:val="24"/>
                <w:szCs w:val="24"/>
                <w:lang w:val="en-US" w:eastAsia="zh-CN" w:bidi="ar"/>
              </w:rPr>
              <w:t>.5</w:t>
            </w:r>
            <w:r>
              <w:rPr>
                <w:rFonts w:hint="eastAsia" w:ascii="宋体" w:hAnsi="宋体" w:cs="宋体"/>
                <w:color w:val="auto"/>
                <w:kern w:val="0"/>
                <w:sz w:val="24"/>
                <w:szCs w:val="24"/>
                <w:lang w:bidi="ar"/>
              </w:rPr>
              <w:t>分，不提供不得分。)</w:t>
            </w:r>
          </w:p>
          <w:p w14:paraId="76DC02E8">
            <w:pPr>
              <w:rPr>
                <w:rFonts w:ascii="宋体" w:hAnsi="宋体" w:cs="宋体"/>
                <w:color w:val="auto"/>
                <w:kern w:val="0"/>
                <w:sz w:val="24"/>
                <w:szCs w:val="24"/>
                <w:lang w:bidi="ar"/>
              </w:rPr>
            </w:pPr>
            <w:r>
              <w:rPr>
                <w:rFonts w:hint="eastAsia" w:ascii="宋体" w:hAnsi="宋体" w:cs="宋体"/>
                <w:color w:val="auto"/>
                <w:kern w:val="0"/>
                <w:sz w:val="24"/>
                <w:szCs w:val="24"/>
                <w:lang w:bidi="ar"/>
              </w:rPr>
              <w:t>（3）电池电压模块：实时显示电池包内2个电池组中单体电池电压值，每个电池组下方列出电池组的电压平均值，使用红色条框标识出每个电池组中最大电压值，使用蓝色条框标识出每个电池组中最小电压值，使用红色圆点标识出每个电池组中处于均衡状态的单体电池。(投标文件中需提供此项功能截图并加盖投标人公章，提供符合要求的得1</w:t>
            </w:r>
            <w:r>
              <w:rPr>
                <w:rFonts w:hint="eastAsia" w:ascii="宋体" w:hAnsi="宋体" w:cs="宋体"/>
                <w:color w:val="auto"/>
                <w:kern w:val="0"/>
                <w:sz w:val="24"/>
                <w:szCs w:val="24"/>
                <w:lang w:val="en-US" w:eastAsia="zh-CN" w:bidi="ar"/>
              </w:rPr>
              <w:t>.5</w:t>
            </w:r>
            <w:r>
              <w:rPr>
                <w:rFonts w:hint="eastAsia" w:ascii="宋体" w:hAnsi="宋体" w:cs="宋体"/>
                <w:color w:val="auto"/>
                <w:kern w:val="0"/>
                <w:sz w:val="24"/>
                <w:szCs w:val="24"/>
                <w:lang w:bidi="ar"/>
              </w:rPr>
              <w:t>分，不提供不得分。)</w:t>
            </w:r>
          </w:p>
          <w:p w14:paraId="71687B2F">
            <w:pPr>
              <w:rPr>
                <w:rFonts w:ascii="宋体" w:hAnsi="宋体" w:cs="宋体"/>
                <w:color w:val="auto"/>
                <w:kern w:val="0"/>
                <w:sz w:val="24"/>
                <w:szCs w:val="24"/>
                <w:lang w:bidi="ar"/>
              </w:rPr>
            </w:pPr>
            <w:r>
              <w:rPr>
                <w:rFonts w:hint="eastAsia" w:ascii="宋体" w:hAnsi="宋体" w:cs="宋体"/>
                <w:color w:val="auto"/>
                <w:kern w:val="0"/>
                <w:sz w:val="24"/>
                <w:szCs w:val="24"/>
                <w:lang w:bidi="ar"/>
              </w:rPr>
              <w:t>（4）HBMU配置模块：可下载出现有BMU中的版本信息、电池编号、温度传感器编号、电池组板号、故障信息、充电机工作设置、充电机配置信息、预充设置、电池容量、单体电池过压报警阈值、短路电流报警阈值等71项内容。为方便教学及对BMS学习系统特定开放了部分可设定选项如单体电池欠压报警一级阈值、总电压欠压报警阈值、SOC过低报警阈值、单体动态电压差报警阈值、系统温度差报警阈值。(投标文件中需提供此项功能截图并加盖投标人公章，提供符合要求的得1</w:t>
            </w:r>
            <w:r>
              <w:rPr>
                <w:rFonts w:hint="eastAsia" w:ascii="宋体" w:hAnsi="宋体" w:cs="宋体"/>
                <w:color w:val="auto"/>
                <w:kern w:val="0"/>
                <w:sz w:val="24"/>
                <w:szCs w:val="24"/>
                <w:lang w:val="en-US" w:eastAsia="zh-CN" w:bidi="ar"/>
              </w:rPr>
              <w:t>.5</w:t>
            </w:r>
            <w:r>
              <w:rPr>
                <w:rFonts w:hint="eastAsia" w:ascii="宋体" w:hAnsi="宋体" w:cs="宋体"/>
                <w:color w:val="auto"/>
                <w:kern w:val="0"/>
                <w:sz w:val="24"/>
                <w:szCs w:val="24"/>
                <w:lang w:bidi="ar"/>
              </w:rPr>
              <w:t>分，不提供不得分。)</w:t>
            </w:r>
          </w:p>
          <w:p w14:paraId="17F60C56">
            <w:pPr>
              <w:rPr>
                <w:rFonts w:hint="eastAsia" w:ascii="宋体" w:hAnsi="宋体" w:cs="宋体"/>
                <w:b/>
                <w:bCs/>
                <w:color w:val="auto"/>
                <w:sz w:val="24"/>
                <w:szCs w:val="24"/>
              </w:rPr>
            </w:pPr>
            <w:r>
              <w:rPr>
                <w:rFonts w:hint="eastAsia" w:ascii="宋体" w:hAnsi="宋体" w:cs="宋体"/>
                <w:color w:val="auto"/>
                <w:kern w:val="0"/>
                <w:sz w:val="24"/>
                <w:szCs w:val="24"/>
                <w:lang w:bidi="ar"/>
              </w:rPr>
              <w:t>（5）通讯故障模块：可实时显示电池组中各模块间通讯状态如电池组通讯状态、HMU通讯状态、充电机通讯状态、HVU通讯状态等，正常通讯时均显示为绿色有故障状态下显示为红色。(投标文件中需提供此项功能截图并加盖投标人公章，提供符合要求的得1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554403A7">
            <w:pPr>
              <w:pStyle w:val="3"/>
              <w:spacing w:before="0" w:after="0"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0-7分</w:t>
            </w:r>
          </w:p>
        </w:tc>
        <w:tc>
          <w:tcPr>
            <w:tcW w:w="548" w:type="pct"/>
            <w:tcBorders>
              <w:top w:val="single" w:color="auto" w:sz="4" w:space="0"/>
              <w:left w:val="single" w:color="auto" w:sz="4" w:space="0"/>
              <w:bottom w:val="single" w:color="auto" w:sz="4" w:space="0"/>
              <w:right w:val="single" w:color="auto" w:sz="8" w:space="0"/>
            </w:tcBorders>
            <w:vAlign w:val="center"/>
          </w:tcPr>
          <w:p w14:paraId="2D4CF14A">
            <w:pPr>
              <w:jc w:val="center"/>
              <w:rPr>
                <w:rFonts w:hint="eastAsia" w:ascii="宋体" w:hAnsi="宋体" w:cs="宋体"/>
                <w:sz w:val="24"/>
                <w:szCs w:val="24"/>
              </w:rPr>
            </w:pPr>
            <w:r>
              <w:rPr>
                <w:rFonts w:hint="eastAsia" w:ascii="宋体" w:hAnsi="宋体" w:cs="宋体"/>
                <w:sz w:val="24"/>
                <w:szCs w:val="24"/>
              </w:rPr>
              <w:t>客观分</w:t>
            </w:r>
          </w:p>
        </w:tc>
      </w:tr>
      <w:tr w14:paraId="424816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54" w:type="pct"/>
            <w:tcBorders>
              <w:top w:val="single" w:color="auto" w:sz="4" w:space="0"/>
              <w:left w:val="single" w:color="auto" w:sz="8" w:space="0"/>
              <w:right w:val="single" w:color="auto" w:sz="4" w:space="0"/>
            </w:tcBorders>
            <w:vAlign w:val="center"/>
          </w:tcPr>
          <w:p w14:paraId="2D278705">
            <w:pPr>
              <w:adjustRightInd w:val="0"/>
              <w:snapToGrid w:val="0"/>
              <w:jc w:val="center"/>
              <w:rPr>
                <w:rFonts w:hint="eastAsia" w:ascii="宋体" w:hAnsi="宋体" w:cs="宋体"/>
                <w:sz w:val="24"/>
                <w:szCs w:val="24"/>
              </w:rPr>
            </w:pPr>
            <w:r>
              <w:rPr>
                <w:rFonts w:hint="eastAsia" w:ascii="宋体" w:hAnsi="宋体" w:cs="宋体"/>
                <w:sz w:val="24"/>
                <w:szCs w:val="24"/>
              </w:rPr>
              <w:t>4</w:t>
            </w:r>
          </w:p>
        </w:tc>
        <w:tc>
          <w:tcPr>
            <w:tcW w:w="371" w:type="pct"/>
            <w:tcBorders>
              <w:top w:val="single" w:color="auto" w:sz="4" w:space="0"/>
              <w:left w:val="single" w:color="auto" w:sz="4" w:space="0"/>
              <w:right w:val="single" w:color="auto" w:sz="4" w:space="0"/>
            </w:tcBorders>
            <w:vAlign w:val="center"/>
          </w:tcPr>
          <w:p w14:paraId="6073A075">
            <w:pPr>
              <w:autoSpaceDE w:val="0"/>
              <w:autoSpaceDN w:val="0"/>
              <w:adjustRightInd w:val="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技术</w:t>
            </w:r>
          </w:p>
        </w:tc>
        <w:tc>
          <w:tcPr>
            <w:tcW w:w="3302" w:type="pct"/>
            <w:tcBorders>
              <w:top w:val="single" w:color="auto" w:sz="4" w:space="0"/>
              <w:left w:val="single" w:color="auto" w:sz="4" w:space="0"/>
              <w:bottom w:val="single" w:color="auto" w:sz="4" w:space="0"/>
              <w:right w:val="single" w:color="auto" w:sz="4" w:space="0"/>
            </w:tcBorders>
          </w:tcPr>
          <w:p w14:paraId="4EDF99F2">
            <w:pPr>
              <w:overflowPunct w:val="0"/>
              <w:snapToGrid w:val="0"/>
              <w:jc w:val="left"/>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交互式高压配电实训系统</w:t>
            </w:r>
          </w:p>
          <w:p w14:paraId="7321B2E6">
            <w:pPr>
              <w:overflowPunct w:val="0"/>
              <w:snapToGrid w:val="0"/>
              <w:jc w:val="left"/>
              <w:rPr>
                <w:rFonts w:hint="eastAsia" w:ascii="宋体" w:hAnsi="宋体" w:cs="宋体"/>
                <w:b/>
                <w:bCs/>
                <w:kern w:val="0"/>
                <w:sz w:val="24"/>
                <w:szCs w:val="24"/>
                <w:lang w:bidi="ar"/>
              </w:rPr>
            </w:pPr>
            <w:r>
              <w:rPr>
                <w:rFonts w:hint="eastAsia" w:ascii="宋体" w:hAnsi="宋体" w:cs="宋体"/>
                <w:sz w:val="24"/>
                <w:szCs w:val="24"/>
              </w:rPr>
              <w:t>1.电脑上安装高压安全实训台操控软件，可以和实训台联合完成上电、下电、运行、充电、空调功能演示；</w:t>
            </w:r>
            <w:r>
              <w:rPr>
                <w:rFonts w:hint="eastAsia" w:ascii="宋体" w:hAnsi="宋体" w:cs="宋体"/>
                <w:b/>
                <w:bCs/>
                <w:kern w:val="0"/>
                <w:sz w:val="24"/>
                <w:szCs w:val="24"/>
                <w:lang w:bidi="ar"/>
              </w:rPr>
              <w:t>（投标文件中需提供上位机软件仪表显示交流充电正常的截图图片加盖投标人公章），提供得0.5分，不提供不得分。</w:t>
            </w:r>
          </w:p>
          <w:p w14:paraId="6ED92786">
            <w:pPr>
              <w:jc w:val="left"/>
              <w:rPr>
                <w:rFonts w:hint="eastAsia" w:ascii="宋体" w:hAnsi="宋体" w:cs="宋体"/>
                <w:b/>
                <w:bCs/>
                <w:kern w:val="0"/>
                <w:sz w:val="24"/>
                <w:szCs w:val="24"/>
                <w:lang w:bidi="ar"/>
              </w:rPr>
            </w:pPr>
            <w:r>
              <w:rPr>
                <w:rFonts w:hint="eastAsia" w:ascii="宋体" w:hAnsi="宋体" w:cs="宋体"/>
                <w:sz w:val="24"/>
                <w:szCs w:val="24"/>
              </w:rPr>
              <w:t>2.双击软件“高压安全操作实训台”进入操控界面，然后点击实训台上点火开关，实训台和操控软件进行工作状态REDAY灯亮起，在操控界面下方有档位P、R、N、D档，空调制冷、PTC加热、原理展示、故障设置、直流充电、通讯信号灯RX、TX；</w:t>
            </w:r>
            <w:r>
              <w:rPr>
                <w:rFonts w:hint="eastAsia" w:ascii="宋体" w:hAnsi="宋体" w:cs="宋体"/>
                <w:b/>
                <w:bCs/>
                <w:kern w:val="0"/>
                <w:sz w:val="24"/>
                <w:szCs w:val="24"/>
                <w:lang w:bidi="ar"/>
              </w:rPr>
              <w:t>（投标文件中需提供上位机软件P、N档位状态下</w:t>
            </w:r>
            <w:r>
              <w:rPr>
                <w:rFonts w:hint="eastAsia" w:ascii="宋体" w:hAnsi="宋体" w:cs="宋体"/>
                <w:b/>
                <w:bCs/>
                <w:sz w:val="24"/>
                <w:szCs w:val="24"/>
              </w:rPr>
              <w:t>高压系统工作电流走向原理图</w:t>
            </w:r>
            <w:r>
              <w:rPr>
                <w:rFonts w:hint="eastAsia" w:ascii="宋体" w:hAnsi="宋体" w:cs="宋体"/>
                <w:b/>
                <w:bCs/>
                <w:kern w:val="0"/>
                <w:sz w:val="24"/>
                <w:szCs w:val="24"/>
                <w:lang w:bidi="ar"/>
              </w:rPr>
              <w:t>的截图图片加盖投标人公章），提供得0.5分，不提供不得分。</w:t>
            </w:r>
          </w:p>
          <w:p w14:paraId="1BCE3731">
            <w:pPr>
              <w:overflowPunct w:val="0"/>
              <w:snapToGrid w:val="0"/>
              <w:jc w:val="left"/>
              <w:rPr>
                <w:rFonts w:hint="eastAsia" w:ascii="宋体" w:hAnsi="宋体" w:cs="宋体"/>
                <w:sz w:val="24"/>
                <w:szCs w:val="24"/>
              </w:rPr>
            </w:pPr>
            <w:r>
              <w:rPr>
                <w:rFonts w:hint="eastAsia" w:ascii="宋体" w:hAnsi="宋体" w:cs="宋体"/>
                <w:sz w:val="24"/>
                <w:szCs w:val="24"/>
              </w:rPr>
              <w:t>3.</w:t>
            </w:r>
            <w:r>
              <w:rPr>
                <w:rFonts w:hint="eastAsia" w:ascii="宋体" w:hAnsi="宋体" w:cs="宋体"/>
                <w:color w:val="000000"/>
                <w:kern w:val="0"/>
                <w:sz w:val="24"/>
                <w:szCs w:val="24"/>
                <w:lang w:bidi="ar"/>
              </w:rPr>
              <w:t>当点击R、D档按钮后，面板的上的的驱动电机会模拟实车方式以前进、后退的方向转动，面板上旋转按钮可以调节快慢，同时可以在面板上测量工作时接触器的电压值，还可以点击操控软件中“原理展示”按钮后软件界面将跳转到R、D当前工作运行状态电流的走向；</w:t>
            </w:r>
            <w:r>
              <w:rPr>
                <w:rFonts w:hint="eastAsia" w:ascii="宋体" w:hAnsi="宋体" w:cs="宋体"/>
                <w:b/>
                <w:bCs/>
                <w:color w:val="000000"/>
                <w:kern w:val="0"/>
                <w:sz w:val="24"/>
                <w:szCs w:val="24"/>
                <w:lang w:bidi="ar"/>
              </w:rPr>
              <w:t>（投标文件中需提供上位机软件仪表显示D挡行驶状态下的电流走向的截图图片加盖投标人公章）</w:t>
            </w:r>
            <w:r>
              <w:rPr>
                <w:rFonts w:hint="eastAsia" w:ascii="宋体" w:hAnsi="宋体" w:cs="宋体"/>
                <w:b/>
                <w:bCs/>
                <w:kern w:val="0"/>
                <w:sz w:val="24"/>
                <w:szCs w:val="24"/>
                <w:lang w:bidi="ar"/>
              </w:rPr>
              <w:t>提供得0.5分，不提供不得分。</w:t>
            </w:r>
          </w:p>
          <w:p w14:paraId="512821D9">
            <w:pPr>
              <w:overflowPunct w:val="0"/>
              <w:snapToGrid w:val="0"/>
              <w:jc w:val="left"/>
              <w:rPr>
                <w:rFonts w:hint="eastAsia" w:ascii="宋体" w:hAnsi="宋体" w:cs="宋体"/>
                <w:b/>
                <w:bCs/>
                <w:kern w:val="0"/>
                <w:sz w:val="24"/>
                <w:szCs w:val="24"/>
                <w:lang w:bidi="ar"/>
              </w:rPr>
            </w:pPr>
            <w:r>
              <w:rPr>
                <w:rFonts w:hint="eastAsia" w:ascii="宋体" w:hAnsi="宋体" w:cs="宋体"/>
                <w:sz w:val="24"/>
                <w:szCs w:val="24"/>
              </w:rPr>
              <w:t>4.当点击“制冷”和“加热”按钮后，制冷或加热接触器将会工作，面板中能测到工作时的电压值，然后点击“原理展示”按钮后界面将转到制冷、加热当前工作的电流走向；</w:t>
            </w:r>
            <w:r>
              <w:rPr>
                <w:rFonts w:hint="eastAsia" w:ascii="宋体" w:hAnsi="宋体" w:cs="宋体"/>
                <w:b/>
                <w:bCs/>
                <w:kern w:val="0"/>
                <w:sz w:val="24"/>
                <w:szCs w:val="24"/>
                <w:lang w:bidi="ar"/>
              </w:rPr>
              <w:t>（投标文件中需提供上位机软件仪表显示D挡空调制冷和制冷状态的电流走向的截图图片加盖投标人公章），提供得0.5分，不提供不得分。</w:t>
            </w:r>
          </w:p>
          <w:p w14:paraId="0BA773E0">
            <w:pPr>
              <w:overflowPunct w:val="0"/>
              <w:snapToGrid w:val="0"/>
              <w:jc w:val="left"/>
              <w:rPr>
                <w:rFonts w:hint="eastAsia" w:ascii="宋体" w:hAnsi="宋体" w:cs="宋体"/>
                <w:b/>
                <w:bCs/>
                <w:sz w:val="24"/>
                <w:szCs w:val="24"/>
              </w:rPr>
            </w:pPr>
            <w:r>
              <w:rPr>
                <w:rFonts w:hint="eastAsia" w:ascii="宋体" w:hAnsi="宋体" w:cs="宋体"/>
                <w:sz w:val="24"/>
                <w:szCs w:val="24"/>
              </w:rPr>
              <w:t>5.点击操控软件中“原理展示”按钮，软件界面将跳转到实训台当前运行状态下高压系统工作电流走向原理图，切换不同工作状态所展示的高压系统工作电流走向原理图会有所不同；</w:t>
            </w:r>
            <w:r>
              <w:rPr>
                <w:rFonts w:hint="eastAsia" w:ascii="宋体" w:hAnsi="宋体" w:cs="宋体"/>
                <w:b/>
                <w:bCs/>
                <w:kern w:val="0"/>
                <w:sz w:val="24"/>
                <w:szCs w:val="24"/>
                <w:lang w:bidi="ar"/>
              </w:rPr>
              <w:t>（投标文件中需提供上位机软件仪表显示直流充电正常和直流充电状态的电流走向的截图图片加盖投标人公章），提供得0.5分，不提供不得分。</w:t>
            </w:r>
          </w:p>
          <w:p w14:paraId="32151D63">
            <w:pPr>
              <w:widowControl/>
              <w:jc w:val="left"/>
              <w:textAlignment w:val="center"/>
              <w:rPr>
                <w:rFonts w:hint="eastAsia" w:ascii="宋体" w:hAnsi="宋体" w:cs="宋体"/>
                <w:kern w:val="0"/>
                <w:sz w:val="24"/>
                <w:szCs w:val="24"/>
                <w:lang w:bidi="ar"/>
              </w:rPr>
            </w:pPr>
            <w:r>
              <w:rPr>
                <w:rFonts w:hint="eastAsia" w:ascii="宋体" w:hAnsi="宋体" w:cs="宋体"/>
                <w:sz w:val="24"/>
                <w:szCs w:val="24"/>
              </w:rPr>
              <w:t>6.在操作软件点击故障设置按钮，将会转到故障设置器界面主放电正继电器故障、预充继电器故障、高压漏电故障、CP故障、空调压缩机故障、PTC加热故障等10路故障可以对高压系统中各接触器设置故障也可以对民用电网和交流充电系统设置故障，并且操控主界面会出现故障警报符号，显示已有故障。所有故障类型均是纯电动汽车常见故障有利于学生对纯电动汽车高压故障的理解分析。</w:t>
            </w:r>
            <w:r>
              <w:rPr>
                <w:rFonts w:hint="eastAsia" w:ascii="宋体" w:hAnsi="宋体" w:cs="宋体"/>
                <w:b/>
                <w:bCs/>
                <w:kern w:val="0"/>
                <w:sz w:val="24"/>
                <w:szCs w:val="24"/>
                <w:lang w:bidi="ar"/>
              </w:rPr>
              <w:t>（投标文件中需提供上位机软件故障设置界面的截图图片加盖投标人公章），提供得0.5分，不提供不得分。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6F151D9A">
            <w:pPr>
              <w:pStyle w:val="3"/>
              <w:spacing w:before="0" w:after="0"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0-3分</w:t>
            </w:r>
          </w:p>
        </w:tc>
        <w:tc>
          <w:tcPr>
            <w:tcW w:w="548" w:type="pct"/>
            <w:tcBorders>
              <w:top w:val="single" w:color="auto" w:sz="4" w:space="0"/>
              <w:left w:val="single" w:color="auto" w:sz="4" w:space="0"/>
              <w:bottom w:val="single" w:color="auto" w:sz="4" w:space="0"/>
              <w:right w:val="single" w:color="auto" w:sz="8" w:space="0"/>
            </w:tcBorders>
            <w:vAlign w:val="center"/>
          </w:tcPr>
          <w:p w14:paraId="181D9775">
            <w:pPr>
              <w:jc w:val="center"/>
              <w:rPr>
                <w:rFonts w:hint="eastAsia" w:ascii="宋体" w:hAnsi="宋体" w:cs="宋体"/>
                <w:sz w:val="24"/>
                <w:szCs w:val="24"/>
              </w:rPr>
            </w:pPr>
            <w:r>
              <w:rPr>
                <w:rFonts w:hint="eastAsia" w:ascii="宋体" w:hAnsi="宋体" w:cs="宋体"/>
                <w:sz w:val="24"/>
                <w:szCs w:val="24"/>
              </w:rPr>
              <w:t>客观分</w:t>
            </w:r>
          </w:p>
        </w:tc>
      </w:tr>
      <w:tr w14:paraId="6CADA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54" w:type="pct"/>
            <w:tcBorders>
              <w:top w:val="single" w:color="auto" w:sz="4" w:space="0"/>
              <w:left w:val="single" w:color="auto" w:sz="8" w:space="0"/>
              <w:right w:val="single" w:color="auto" w:sz="4" w:space="0"/>
            </w:tcBorders>
            <w:vAlign w:val="center"/>
          </w:tcPr>
          <w:p w14:paraId="628F6DE3">
            <w:pPr>
              <w:adjustRightInd w:val="0"/>
              <w:snapToGrid w:val="0"/>
              <w:jc w:val="center"/>
              <w:rPr>
                <w:rFonts w:hint="eastAsia" w:ascii="宋体" w:hAnsi="宋体" w:cs="宋体"/>
                <w:sz w:val="24"/>
                <w:szCs w:val="24"/>
              </w:rPr>
            </w:pPr>
            <w:r>
              <w:rPr>
                <w:rFonts w:hint="eastAsia" w:ascii="宋体" w:hAnsi="宋体" w:cs="宋体"/>
                <w:sz w:val="24"/>
                <w:szCs w:val="24"/>
              </w:rPr>
              <w:t>5</w:t>
            </w:r>
          </w:p>
        </w:tc>
        <w:tc>
          <w:tcPr>
            <w:tcW w:w="371" w:type="pct"/>
            <w:tcBorders>
              <w:top w:val="single" w:color="auto" w:sz="4" w:space="0"/>
              <w:left w:val="single" w:color="auto" w:sz="4" w:space="0"/>
              <w:right w:val="single" w:color="auto" w:sz="4" w:space="0"/>
            </w:tcBorders>
            <w:vAlign w:val="center"/>
          </w:tcPr>
          <w:p w14:paraId="337797D3">
            <w:pPr>
              <w:autoSpaceDE w:val="0"/>
              <w:autoSpaceDN w:val="0"/>
              <w:adjustRightInd w:val="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技术</w:t>
            </w:r>
          </w:p>
        </w:tc>
        <w:tc>
          <w:tcPr>
            <w:tcW w:w="3302" w:type="pct"/>
            <w:tcBorders>
              <w:top w:val="single" w:color="auto" w:sz="4" w:space="0"/>
              <w:left w:val="single" w:color="auto" w:sz="4" w:space="0"/>
              <w:bottom w:val="single" w:color="auto" w:sz="4" w:space="0"/>
              <w:right w:val="single" w:color="auto" w:sz="4" w:space="0"/>
            </w:tcBorders>
          </w:tcPr>
          <w:p w14:paraId="0E0844E2">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交互式高压配电实训台智能化教学系统</w:t>
            </w:r>
          </w:p>
          <w:p w14:paraId="6E4753A9">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一、交互式高压配电实训台实训指导书</w:t>
            </w:r>
          </w:p>
          <w:p w14:paraId="41617820">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1、章节最后的自测题可以帮助学生巩固课上所学习的内容，并对课上的重难点内容进行复习，形成课前预习-课上学习-课后复习的完整的学习链。</w:t>
            </w:r>
            <w:r>
              <w:rPr>
                <w:rFonts w:hint="eastAsia" w:ascii="宋体" w:hAnsi="宋体" w:cs="宋体"/>
                <w:b/>
                <w:bCs/>
                <w:kern w:val="0"/>
                <w:sz w:val="24"/>
                <w:szCs w:val="24"/>
              </w:rPr>
              <w:t>（投标文件中需提供其中5章节实训项目学习任务目录及课程内容功能截图并加盖投标人公章）</w:t>
            </w:r>
            <w:r>
              <w:rPr>
                <w:rFonts w:hint="eastAsia" w:ascii="宋体" w:hAnsi="宋体" w:cs="宋体"/>
                <w:b/>
                <w:bCs/>
                <w:kern w:val="0"/>
                <w:sz w:val="24"/>
                <w:szCs w:val="24"/>
                <w:lang w:bidi="ar"/>
              </w:rPr>
              <w:t>提供得1分，不提供不得分。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534A35AC">
            <w:pPr>
              <w:pStyle w:val="3"/>
              <w:spacing w:before="0" w:after="0"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0-1分</w:t>
            </w:r>
          </w:p>
        </w:tc>
        <w:tc>
          <w:tcPr>
            <w:tcW w:w="548" w:type="pct"/>
            <w:tcBorders>
              <w:top w:val="single" w:color="auto" w:sz="4" w:space="0"/>
              <w:left w:val="single" w:color="auto" w:sz="4" w:space="0"/>
              <w:bottom w:val="single" w:color="auto" w:sz="4" w:space="0"/>
              <w:right w:val="single" w:color="auto" w:sz="8" w:space="0"/>
            </w:tcBorders>
            <w:vAlign w:val="center"/>
          </w:tcPr>
          <w:p w14:paraId="60F9DD5A">
            <w:pPr>
              <w:jc w:val="center"/>
              <w:rPr>
                <w:rFonts w:hint="eastAsia" w:ascii="宋体" w:hAnsi="宋体" w:cs="宋体"/>
                <w:sz w:val="24"/>
                <w:szCs w:val="24"/>
              </w:rPr>
            </w:pPr>
            <w:r>
              <w:rPr>
                <w:rFonts w:hint="eastAsia" w:ascii="宋体" w:hAnsi="宋体" w:cs="宋体"/>
                <w:sz w:val="24"/>
                <w:szCs w:val="24"/>
              </w:rPr>
              <w:t>客观分</w:t>
            </w:r>
          </w:p>
        </w:tc>
      </w:tr>
      <w:tr w14:paraId="213A4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54" w:type="pct"/>
            <w:tcBorders>
              <w:top w:val="single" w:color="auto" w:sz="4" w:space="0"/>
              <w:left w:val="single" w:color="auto" w:sz="8" w:space="0"/>
              <w:right w:val="single" w:color="auto" w:sz="4" w:space="0"/>
            </w:tcBorders>
            <w:vAlign w:val="center"/>
          </w:tcPr>
          <w:p w14:paraId="5CB9D1D6">
            <w:pPr>
              <w:adjustRightInd w:val="0"/>
              <w:snapToGrid w:val="0"/>
              <w:jc w:val="center"/>
              <w:rPr>
                <w:rFonts w:hint="eastAsia" w:ascii="宋体" w:hAnsi="宋体" w:cs="宋体"/>
                <w:sz w:val="24"/>
                <w:szCs w:val="24"/>
              </w:rPr>
            </w:pPr>
            <w:r>
              <w:rPr>
                <w:rFonts w:hint="eastAsia" w:ascii="宋体" w:hAnsi="宋体" w:cs="宋体"/>
                <w:sz w:val="24"/>
                <w:szCs w:val="24"/>
              </w:rPr>
              <w:t>6</w:t>
            </w:r>
          </w:p>
        </w:tc>
        <w:tc>
          <w:tcPr>
            <w:tcW w:w="371" w:type="pct"/>
            <w:tcBorders>
              <w:top w:val="single" w:color="auto" w:sz="4" w:space="0"/>
              <w:left w:val="single" w:color="auto" w:sz="4" w:space="0"/>
              <w:right w:val="single" w:color="auto" w:sz="4" w:space="0"/>
            </w:tcBorders>
            <w:vAlign w:val="center"/>
          </w:tcPr>
          <w:p w14:paraId="5FB3DF79">
            <w:pPr>
              <w:autoSpaceDE w:val="0"/>
              <w:autoSpaceDN w:val="0"/>
              <w:adjustRightInd w:val="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技术</w:t>
            </w:r>
          </w:p>
        </w:tc>
        <w:tc>
          <w:tcPr>
            <w:tcW w:w="3302" w:type="pct"/>
            <w:tcBorders>
              <w:top w:val="single" w:color="auto" w:sz="4" w:space="0"/>
              <w:left w:val="single" w:color="auto" w:sz="4" w:space="0"/>
              <w:bottom w:val="single" w:color="auto" w:sz="4" w:space="0"/>
              <w:right w:val="single" w:color="auto" w:sz="4" w:space="0"/>
            </w:tcBorders>
          </w:tcPr>
          <w:p w14:paraId="129111E8">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新能源汽车驱动控制实训系统</w:t>
            </w:r>
          </w:p>
          <w:p w14:paraId="6268A8CD">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1、烧录功能：如有软件需要升级时，通过此项可一键将系统升级到最高版本；</w:t>
            </w:r>
            <w:r>
              <w:rPr>
                <w:rFonts w:hint="eastAsia" w:ascii="宋体" w:hAnsi="宋体" w:cs="宋体"/>
                <w:b/>
                <w:bCs/>
                <w:color w:val="000000"/>
                <w:kern w:val="0"/>
                <w:sz w:val="24"/>
                <w:szCs w:val="24"/>
                <w:lang w:bidi="ar"/>
              </w:rPr>
              <w:t>（投标文件中需提供驱动器参数配置功能、连续示波器功能、故障记录功能3个截图并加盖投标人公章），</w:t>
            </w:r>
            <w:r>
              <w:rPr>
                <w:rFonts w:hint="eastAsia" w:ascii="宋体" w:hAnsi="宋体" w:cs="宋体"/>
                <w:b/>
                <w:bCs/>
                <w:kern w:val="0"/>
                <w:sz w:val="24"/>
                <w:szCs w:val="24"/>
                <w:lang w:bidi="ar"/>
              </w:rPr>
              <w:t>每提供一项得1分，满分3分，不提供不得分。</w:t>
            </w:r>
          </w:p>
          <w:p w14:paraId="6420B12A">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汽车视频导航端，配备驱动系统工作原理高清视频IGBT原理、电机控制原理、电机冷却系统原理、电流传感器原理等资源软件触摸屏点击随意播放，例如点击IGBT原理播放看到IGBT原理、IGBT的特性、IGBT的电流流动方向以及组成结构动画和语言同步进行，有助于学员更加了解电机和电机控制器内部工作原理和组成结构，并且教师还可以通过资源上传端口上传本地课程资源视频，可同样播放；</w:t>
            </w:r>
            <w:r>
              <w:rPr>
                <w:rFonts w:hint="eastAsia" w:ascii="宋体" w:hAnsi="宋体" w:cs="宋体"/>
                <w:b/>
                <w:bCs/>
                <w:color w:val="000000"/>
                <w:kern w:val="0"/>
                <w:sz w:val="24"/>
                <w:szCs w:val="24"/>
                <w:lang w:bidi="ar"/>
              </w:rPr>
              <w:t>（投标文件中需提供其中3节高清视频原理动画截图并加盖投标人公章），</w:t>
            </w:r>
            <w:r>
              <w:rPr>
                <w:rFonts w:hint="eastAsia" w:ascii="宋体" w:hAnsi="宋体" w:cs="宋体"/>
                <w:b/>
                <w:bCs/>
                <w:kern w:val="0"/>
                <w:sz w:val="24"/>
                <w:szCs w:val="24"/>
                <w:lang w:bidi="ar"/>
              </w:rPr>
              <w:t>每提供一项得1分，满分3分，不提供不得分。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5539794A">
            <w:pPr>
              <w:pStyle w:val="3"/>
              <w:spacing w:before="0" w:after="0"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0-6分</w:t>
            </w:r>
          </w:p>
        </w:tc>
        <w:tc>
          <w:tcPr>
            <w:tcW w:w="548" w:type="pct"/>
            <w:tcBorders>
              <w:top w:val="single" w:color="auto" w:sz="4" w:space="0"/>
              <w:left w:val="single" w:color="auto" w:sz="4" w:space="0"/>
              <w:bottom w:val="single" w:color="auto" w:sz="4" w:space="0"/>
              <w:right w:val="single" w:color="auto" w:sz="8" w:space="0"/>
            </w:tcBorders>
            <w:vAlign w:val="center"/>
          </w:tcPr>
          <w:p w14:paraId="18EEEE57">
            <w:pPr>
              <w:jc w:val="center"/>
              <w:rPr>
                <w:rFonts w:hint="eastAsia" w:ascii="宋体" w:hAnsi="宋体" w:cs="宋体"/>
                <w:sz w:val="24"/>
                <w:szCs w:val="24"/>
              </w:rPr>
            </w:pPr>
            <w:r>
              <w:rPr>
                <w:rFonts w:hint="eastAsia" w:ascii="宋体" w:hAnsi="宋体" w:cs="宋体"/>
                <w:sz w:val="24"/>
                <w:szCs w:val="24"/>
              </w:rPr>
              <w:t>客观分</w:t>
            </w:r>
          </w:p>
        </w:tc>
      </w:tr>
      <w:tr w14:paraId="3A283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54" w:type="pct"/>
            <w:tcBorders>
              <w:top w:val="single" w:color="auto" w:sz="4" w:space="0"/>
              <w:left w:val="single" w:color="auto" w:sz="8" w:space="0"/>
              <w:right w:val="single" w:color="auto" w:sz="4" w:space="0"/>
            </w:tcBorders>
            <w:vAlign w:val="center"/>
          </w:tcPr>
          <w:p w14:paraId="54A9118E">
            <w:pPr>
              <w:adjustRightInd w:val="0"/>
              <w:snapToGrid w:val="0"/>
              <w:jc w:val="center"/>
              <w:rPr>
                <w:rFonts w:hint="eastAsia" w:ascii="宋体" w:hAnsi="宋体" w:cs="宋体"/>
                <w:sz w:val="24"/>
                <w:szCs w:val="24"/>
              </w:rPr>
            </w:pPr>
            <w:r>
              <w:rPr>
                <w:rFonts w:hint="eastAsia" w:ascii="宋体" w:hAnsi="宋体" w:cs="宋体"/>
                <w:sz w:val="24"/>
                <w:szCs w:val="24"/>
              </w:rPr>
              <w:t>7</w:t>
            </w:r>
          </w:p>
        </w:tc>
        <w:tc>
          <w:tcPr>
            <w:tcW w:w="371" w:type="pct"/>
            <w:tcBorders>
              <w:top w:val="single" w:color="auto" w:sz="4" w:space="0"/>
              <w:left w:val="single" w:color="auto" w:sz="4" w:space="0"/>
              <w:right w:val="single" w:color="auto" w:sz="4" w:space="0"/>
            </w:tcBorders>
            <w:vAlign w:val="center"/>
          </w:tcPr>
          <w:p w14:paraId="75134787">
            <w:pPr>
              <w:autoSpaceDE w:val="0"/>
              <w:autoSpaceDN w:val="0"/>
              <w:adjustRightInd w:val="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技术</w:t>
            </w:r>
          </w:p>
        </w:tc>
        <w:tc>
          <w:tcPr>
            <w:tcW w:w="3302" w:type="pct"/>
            <w:tcBorders>
              <w:top w:val="single" w:color="auto" w:sz="4" w:space="0"/>
              <w:left w:val="single" w:color="auto" w:sz="4" w:space="0"/>
              <w:bottom w:val="single" w:color="auto" w:sz="4" w:space="0"/>
              <w:right w:val="single" w:color="auto" w:sz="4" w:space="0"/>
            </w:tcBorders>
          </w:tcPr>
          <w:p w14:paraId="7FAC092A">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新能源汽车驱动控制实训台智能化教学系统</w:t>
            </w:r>
          </w:p>
          <w:p w14:paraId="05E88BAB">
            <w:pPr>
              <w:widowControl/>
              <w:jc w:val="left"/>
              <w:textAlignment w:val="center"/>
              <w:rPr>
                <w:rFonts w:hint="eastAsia" w:ascii="宋体" w:hAnsi="宋体" w:cs="宋体"/>
                <w:kern w:val="0"/>
                <w:sz w:val="24"/>
                <w:szCs w:val="24"/>
                <w:lang w:bidi="ar"/>
              </w:rPr>
            </w:pPr>
            <w:r>
              <w:rPr>
                <w:rFonts w:hint="eastAsia" w:ascii="宋体" w:hAnsi="宋体" w:cs="宋体"/>
                <w:kern w:val="0"/>
                <w:sz w:val="24"/>
                <w:szCs w:val="24"/>
                <w:lang w:bidi="ar"/>
              </w:rPr>
              <w:t>一、</w:t>
            </w:r>
            <w:r>
              <w:rPr>
                <w:rFonts w:hint="eastAsia" w:ascii="宋体" w:hAnsi="宋体" w:cs="宋体"/>
                <w:color w:val="000000"/>
                <w:kern w:val="0"/>
                <w:sz w:val="24"/>
                <w:szCs w:val="24"/>
                <w:lang w:bidi="ar"/>
              </w:rPr>
              <w:t>新能源汽车驱动控制实训台实训指导书</w:t>
            </w:r>
          </w:p>
          <w:p w14:paraId="4542D8E4">
            <w:pPr>
              <w:widowControl/>
              <w:jc w:val="left"/>
              <w:textAlignment w:val="center"/>
              <w:rPr>
                <w:rFonts w:hint="eastAsia" w:ascii="宋体" w:hAnsi="宋体" w:cs="宋体"/>
                <w:kern w:val="0"/>
                <w:sz w:val="24"/>
                <w:szCs w:val="24"/>
                <w:lang w:bidi="ar"/>
              </w:rPr>
            </w:pPr>
            <w:r>
              <w:rPr>
                <w:rFonts w:hint="eastAsia" w:ascii="宋体" w:hAnsi="宋体" w:cs="宋体"/>
                <w:color w:val="000000"/>
                <w:kern w:val="0"/>
                <w:sz w:val="24"/>
                <w:szCs w:val="24"/>
                <w:lang w:bidi="ar"/>
              </w:rPr>
              <w:t>1、章节最后的自测题可以帮助学生巩固课上所学习的内容，并对课上的重难点内容进行复习，形成课前预习-课上学习-课后复习的完整的学习链。</w:t>
            </w:r>
            <w:r>
              <w:rPr>
                <w:rFonts w:hint="eastAsia" w:ascii="宋体" w:hAnsi="宋体" w:cs="宋体"/>
                <w:b/>
                <w:bCs/>
                <w:kern w:val="0"/>
                <w:sz w:val="24"/>
                <w:szCs w:val="24"/>
              </w:rPr>
              <w:t>（投标文件中需提供其中5章节实训项目学习任务目录及课程内容功能截图并加盖投标人公章）</w:t>
            </w:r>
            <w:r>
              <w:rPr>
                <w:rFonts w:hint="eastAsia" w:ascii="宋体" w:hAnsi="宋体" w:cs="宋体"/>
                <w:b/>
                <w:bCs/>
                <w:kern w:val="0"/>
                <w:sz w:val="24"/>
                <w:szCs w:val="24"/>
                <w:lang w:bidi="ar"/>
              </w:rPr>
              <w:t>提供得1分，不提供不得分。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30877E64">
            <w:pPr>
              <w:pStyle w:val="3"/>
              <w:spacing w:before="0" w:after="0"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0-1分</w:t>
            </w:r>
          </w:p>
        </w:tc>
        <w:tc>
          <w:tcPr>
            <w:tcW w:w="548" w:type="pct"/>
            <w:tcBorders>
              <w:top w:val="single" w:color="auto" w:sz="4" w:space="0"/>
              <w:left w:val="single" w:color="auto" w:sz="4" w:space="0"/>
              <w:bottom w:val="single" w:color="auto" w:sz="4" w:space="0"/>
              <w:right w:val="single" w:color="auto" w:sz="8" w:space="0"/>
            </w:tcBorders>
            <w:vAlign w:val="center"/>
          </w:tcPr>
          <w:p w14:paraId="59089AD1">
            <w:pPr>
              <w:jc w:val="center"/>
              <w:rPr>
                <w:rFonts w:hint="eastAsia" w:ascii="宋体" w:hAnsi="宋体" w:cs="宋体"/>
                <w:sz w:val="24"/>
                <w:szCs w:val="24"/>
              </w:rPr>
            </w:pPr>
            <w:r>
              <w:rPr>
                <w:rFonts w:hint="eastAsia" w:ascii="宋体" w:hAnsi="宋体" w:cs="宋体"/>
                <w:sz w:val="24"/>
                <w:szCs w:val="24"/>
              </w:rPr>
              <w:t>客观分</w:t>
            </w:r>
          </w:p>
        </w:tc>
      </w:tr>
      <w:tr w14:paraId="79A41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54" w:type="pct"/>
            <w:tcBorders>
              <w:top w:val="single" w:color="auto" w:sz="4" w:space="0"/>
              <w:left w:val="single" w:color="auto" w:sz="8" w:space="0"/>
              <w:right w:val="single" w:color="auto" w:sz="4" w:space="0"/>
            </w:tcBorders>
            <w:vAlign w:val="center"/>
          </w:tcPr>
          <w:p w14:paraId="3304779B">
            <w:pPr>
              <w:adjustRightInd w:val="0"/>
              <w:snapToGrid w:val="0"/>
              <w:jc w:val="center"/>
              <w:rPr>
                <w:rFonts w:hint="eastAsia" w:ascii="宋体" w:hAnsi="宋体" w:cs="宋体"/>
                <w:sz w:val="24"/>
                <w:szCs w:val="24"/>
              </w:rPr>
            </w:pPr>
            <w:r>
              <w:rPr>
                <w:rFonts w:hint="eastAsia" w:ascii="宋体" w:hAnsi="宋体" w:cs="宋体"/>
                <w:sz w:val="24"/>
                <w:szCs w:val="24"/>
              </w:rPr>
              <w:t>8</w:t>
            </w:r>
          </w:p>
        </w:tc>
        <w:tc>
          <w:tcPr>
            <w:tcW w:w="371" w:type="pct"/>
            <w:tcBorders>
              <w:top w:val="single" w:color="auto" w:sz="4" w:space="0"/>
              <w:left w:val="single" w:color="auto" w:sz="4" w:space="0"/>
              <w:right w:val="single" w:color="auto" w:sz="4" w:space="0"/>
            </w:tcBorders>
            <w:vAlign w:val="center"/>
          </w:tcPr>
          <w:p w14:paraId="4D6D3CCA">
            <w:pPr>
              <w:autoSpaceDE w:val="0"/>
              <w:autoSpaceDN w:val="0"/>
              <w:adjustRightInd w:val="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技术</w:t>
            </w:r>
          </w:p>
        </w:tc>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72C1F629">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纯电动汽车制动能量回收系统示教板</w:t>
            </w:r>
          </w:p>
          <w:p w14:paraId="160D6880">
            <w:pPr>
              <w:widowControl/>
              <w:jc w:val="left"/>
              <w:textAlignment w:val="center"/>
              <w:rPr>
                <w:rFonts w:hint="eastAsia" w:ascii="宋体" w:hAnsi="宋体" w:cs="宋体"/>
                <w:color w:val="000000"/>
                <w:sz w:val="24"/>
                <w:szCs w:val="24"/>
              </w:rPr>
            </w:pPr>
            <w:r>
              <w:rPr>
                <w:rFonts w:hint="eastAsia" w:ascii="宋体" w:hAnsi="宋体" w:cs="宋体"/>
                <w:sz w:val="24"/>
                <w:szCs w:val="24"/>
              </w:rPr>
              <w:t>1.该设备完整展示了纯电动汽车驱动能量输出与制动能量回收的工作基本原理，可动态模拟纯电动汽车驱动能量输出与制动能量回收在不同工况下的运行状态。</w:t>
            </w:r>
            <w:r>
              <w:rPr>
                <w:rFonts w:hint="eastAsia" w:ascii="宋体" w:hAnsi="宋体" w:cs="宋体"/>
                <w:b/>
                <w:bCs/>
                <w:kern w:val="0"/>
                <w:sz w:val="24"/>
                <w:szCs w:val="24"/>
                <w:lang w:bidi="ar"/>
              </w:rPr>
              <w:t>（</w:t>
            </w:r>
            <w:r>
              <w:rPr>
                <w:rFonts w:hint="eastAsia" w:ascii="宋体" w:hAnsi="宋体" w:cs="宋体"/>
                <w:b/>
                <w:bCs/>
                <w:sz w:val="24"/>
                <w:szCs w:val="24"/>
              </w:rPr>
              <w:t>投标文件中需</w:t>
            </w:r>
            <w:r>
              <w:rPr>
                <w:rFonts w:hint="eastAsia" w:ascii="宋体" w:hAnsi="宋体" w:cs="宋体"/>
                <w:b/>
                <w:bCs/>
                <w:kern w:val="0"/>
                <w:sz w:val="24"/>
                <w:szCs w:val="24"/>
                <w:lang w:bidi="ar"/>
              </w:rPr>
              <w:t>提供动态模拟驱动能量输出与制动能量回收的功能演示截图）</w:t>
            </w:r>
            <w:r>
              <w:rPr>
                <w:rFonts w:hint="eastAsia" w:ascii="宋体" w:hAnsi="宋体" w:cs="宋体"/>
                <w:b/>
                <w:bCs/>
                <w:color w:val="000000"/>
                <w:kern w:val="0"/>
                <w:sz w:val="24"/>
                <w:szCs w:val="24"/>
                <w:lang w:bidi="ar"/>
              </w:rPr>
              <w:t>，</w:t>
            </w:r>
            <w:r>
              <w:rPr>
                <w:rFonts w:hint="eastAsia" w:ascii="宋体" w:hAnsi="宋体" w:cs="宋体"/>
                <w:b/>
                <w:bCs/>
                <w:sz w:val="24"/>
                <w:szCs w:val="24"/>
              </w:rPr>
              <w:t>提供符合要求的得1分，不提供不得分。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1B6EB5AB">
            <w:pPr>
              <w:pStyle w:val="3"/>
              <w:spacing w:before="0" w:after="0"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0-1分</w:t>
            </w:r>
          </w:p>
        </w:tc>
        <w:tc>
          <w:tcPr>
            <w:tcW w:w="548" w:type="pct"/>
            <w:tcBorders>
              <w:top w:val="single" w:color="auto" w:sz="4" w:space="0"/>
              <w:left w:val="single" w:color="auto" w:sz="4" w:space="0"/>
              <w:bottom w:val="single" w:color="auto" w:sz="4" w:space="0"/>
              <w:right w:val="single" w:color="auto" w:sz="8" w:space="0"/>
            </w:tcBorders>
            <w:vAlign w:val="center"/>
          </w:tcPr>
          <w:p w14:paraId="013C1952">
            <w:pPr>
              <w:jc w:val="center"/>
              <w:rPr>
                <w:rFonts w:hint="eastAsia" w:ascii="宋体" w:hAnsi="宋体" w:cs="宋体"/>
                <w:sz w:val="24"/>
                <w:szCs w:val="24"/>
              </w:rPr>
            </w:pPr>
            <w:r>
              <w:rPr>
                <w:rFonts w:hint="eastAsia" w:ascii="宋体" w:hAnsi="宋体" w:cs="宋体"/>
                <w:sz w:val="24"/>
                <w:szCs w:val="24"/>
              </w:rPr>
              <w:t>客观分</w:t>
            </w:r>
          </w:p>
        </w:tc>
      </w:tr>
      <w:tr w14:paraId="22C69D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54" w:type="pct"/>
            <w:tcBorders>
              <w:top w:val="single" w:color="auto" w:sz="4" w:space="0"/>
              <w:left w:val="single" w:color="auto" w:sz="8" w:space="0"/>
              <w:right w:val="single" w:color="auto" w:sz="4" w:space="0"/>
            </w:tcBorders>
            <w:vAlign w:val="center"/>
          </w:tcPr>
          <w:p w14:paraId="27B0BD1E">
            <w:pPr>
              <w:adjustRightInd w:val="0"/>
              <w:snapToGrid w:val="0"/>
              <w:jc w:val="center"/>
              <w:rPr>
                <w:rFonts w:hint="eastAsia" w:ascii="宋体" w:hAnsi="宋体" w:cs="宋体"/>
                <w:sz w:val="24"/>
                <w:szCs w:val="24"/>
              </w:rPr>
            </w:pPr>
            <w:r>
              <w:rPr>
                <w:rFonts w:hint="eastAsia" w:ascii="宋体" w:hAnsi="宋体" w:cs="宋体"/>
                <w:sz w:val="24"/>
                <w:szCs w:val="24"/>
              </w:rPr>
              <w:t>9</w:t>
            </w:r>
          </w:p>
        </w:tc>
        <w:tc>
          <w:tcPr>
            <w:tcW w:w="371" w:type="pct"/>
            <w:tcBorders>
              <w:top w:val="single" w:color="auto" w:sz="4" w:space="0"/>
              <w:left w:val="single" w:color="auto" w:sz="4" w:space="0"/>
              <w:right w:val="single" w:color="auto" w:sz="4" w:space="0"/>
            </w:tcBorders>
            <w:vAlign w:val="center"/>
          </w:tcPr>
          <w:p w14:paraId="4253F2E7">
            <w:pPr>
              <w:autoSpaceDE w:val="0"/>
              <w:autoSpaceDN w:val="0"/>
              <w:adjustRightInd w:val="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技术</w:t>
            </w:r>
          </w:p>
        </w:tc>
        <w:tc>
          <w:tcPr>
            <w:tcW w:w="3302" w:type="pct"/>
            <w:tcBorders>
              <w:top w:val="single" w:color="auto" w:sz="4" w:space="0"/>
              <w:left w:val="single" w:color="auto" w:sz="4" w:space="0"/>
              <w:bottom w:val="single" w:color="auto" w:sz="4" w:space="0"/>
              <w:right w:val="single" w:color="auto" w:sz="4" w:space="0"/>
            </w:tcBorders>
          </w:tcPr>
          <w:p w14:paraId="299A5AF1">
            <w:pPr>
              <w:widowControl/>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插电式混合动力汽车电池管理实训教学系统</w:t>
            </w:r>
          </w:p>
          <w:p w14:paraId="219F8CEB">
            <w:pPr>
              <w:widowControl/>
              <w:jc w:val="left"/>
              <w:textAlignment w:val="center"/>
              <w:rPr>
                <w:rFonts w:hint="eastAsia" w:ascii="宋体" w:hAnsi="宋体" w:cs="宋体"/>
                <w:kern w:val="0"/>
                <w:sz w:val="24"/>
                <w:szCs w:val="24"/>
                <w:lang w:bidi="ar"/>
              </w:rPr>
            </w:pPr>
            <w:r>
              <w:rPr>
                <w:rFonts w:hint="eastAsia" w:ascii="宋体" w:hAnsi="宋体" w:cs="宋体"/>
                <w:sz w:val="24"/>
                <w:szCs w:val="24"/>
              </w:rPr>
              <w:t>1.《混合动力汽车结构与原理》了解混合动力汽车组成、分类及相关工作原理， 掌握混合动力汽车相关系统部件的技术状况检测，能够对常见各大品牌混合动力汽车故障进行修复。</w:t>
            </w:r>
            <w:r>
              <w:rPr>
                <w:rFonts w:hint="eastAsia" w:ascii="宋体" w:hAnsi="宋体" w:cs="宋体"/>
                <w:b/>
                <w:bCs/>
                <w:kern w:val="0"/>
                <w:sz w:val="24"/>
                <w:szCs w:val="24"/>
                <w:lang w:bidi="ar"/>
              </w:rPr>
              <w:t>（投标文件中需提供教材目录及4个内容页并加盖投标人公章），提供得1分，不提供不得分。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00EDE426">
            <w:pPr>
              <w:pStyle w:val="3"/>
              <w:spacing w:before="0" w:after="0"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0-1分</w:t>
            </w:r>
          </w:p>
        </w:tc>
        <w:tc>
          <w:tcPr>
            <w:tcW w:w="548" w:type="pct"/>
            <w:tcBorders>
              <w:top w:val="single" w:color="auto" w:sz="4" w:space="0"/>
              <w:left w:val="single" w:color="auto" w:sz="4" w:space="0"/>
              <w:bottom w:val="single" w:color="auto" w:sz="4" w:space="0"/>
              <w:right w:val="single" w:color="auto" w:sz="8" w:space="0"/>
            </w:tcBorders>
            <w:vAlign w:val="center"/>
          </w:tcPr>
          <w:p w14:paraId="415631F0">
            <w:pPr>
              <w:jc w:val="center"/>
              <w:rPr>
                <w:rFonts w:hint="eastAsia" w:ascii="宋体" w:hAnsi="宋体" w:cs="宋体"/>
                <w:sz w:val="24"/>
                <w:szCs w:val="24"/>
              </w:rPr>
            </w:pPr>
            <w:r>
              <w:rPr>
                <w:rFonts w:hint="eastAsia" w:ascii="宋体" w:hAnsi="宋体" w:cs="宋体"/>
                <w:sz w:val="24"/>
                <w:szCs w:val="24"/>
              </w:rPr>
              <w:t>客观分</w:t>
            </w:r>
          </w:p>
        </w:tc>
      </w:tr>
      <w:tr w14:paraId="593886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54" w:type="pct"/>
            <w:tcBorders>
              <w:top w:val="single" w:color="auto" w:sz="4" w:space="0"/>
              <w:left w:val="single" w:color="auto" w:sz="8" w:space="0"/>
              <w:right w:val="single" w:color="auto" w:sz="4" w:space="0"/>
            </w:tcBorders>
            <w:vAlign w:val="center"/>
          </w:tcPr>
          <w:p w14:paraId="38953096">
            <w:pPr>
              <w:adjustRightInd w:val="0"/>
              <w:snapToGrid w:val="0"/>
              <w:jc w:val="center"/>
              <w:rPr>
                <w:rFonts w:hint="eastAsia" w:ascii="宋体" w:hAnsi="宋体" w:cs="宋体"/>
                <w:sz w:val="24"/>
                <w:szCs w:val="24"/>
              </w:rPr>
            </w:pPr>
            <w:r>
              <w:rPr>
                <w:rFonts w:hint="eastAsia" w:ascii="宋体" w:hAnsi="宋体" w:cs="宋体"/>
                <w:sz w:val="24"/>
                <w:szCs w:val="24"/>
              </w:rPr>
              <w:t>10</w:t>
            </w:r>
          </w:p>
        </w:tc>
        <w:tc>
          <w:tcPr>
            <w:tcW w:w="371" w:type="pct"/>
            <w:tcBorders>
              <w:top w:val="single" w:color="auto" w:sz="4" w:space="0"/>
              <w:left w:val="single" w:color="auto" w:sz="4" w:space="0"/>
              <w:right w:val="single" w:color="auto" w:sz="4" w:space="0"/>
            </w:tcBorders>
            <w:vAlign w:val="center"/>
          </w:tcPr>
          <w:p w14:paraId="4E75B259">
            <w:pPr>
              <w:autoSpaceDE w:val="0"/>
              <w:autoSpaceDN w:val="0"/>
              <w:adjustRightInd w:val="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技术</w:t>
            </w:r>
          </w:p>
        </w:tc>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1447E198">
            <w:pP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插电式混合动力汽车驱动电机控制实训教学系统</w:t>
            </w:r>
          </w:p>
          <w:p w14:paraId="24A62EDB">
            <w:pPr>
              <w:rPr>
                <w:rFonts w:hint="eastAsia" w:ascii="宋体" w:hAnsi="宋体" w:cs="宋体"/>
                <w:sz w:val="24"/>
                <w:szCs w:val="24"/>
              </w:rPr>
            </w:pPr>
            <w:r>
              <w:rPr>
                <w:rFonts w:hint="eastAsia" w:ascii="宋体" w:hAnsi="宋体" w:cs="宋体"/>
                <w:sz w:val="24"/>
                <w:szCs w:val="24"/>
              </w:rPr>
              <w:t>1.整体台架采用哑光黑色3mm厚ABS吸塑包裹工艺结构美观大方、有足够的机械强度，整体高度1050mm宽1406mm长560mm吸塑R角处可一保证最小厚度大于2mm。</w:t>
            </w:r>
          </w:p>
          <w:p w14:paraId="16604899">
            <w:pPr>
              <w:rPr>
                <w:rFonts w:hint="eastAsia" w:ascii="宋体" w:hAnsi="宋体" w:cs="宋体"/>
                <w:b/>
                <w:bCs/>
                <w:sz w:val="24"/>
                <w:szCs w:val="24"/>
              </w:rPr>
            </w:pPr>
            <w:r>
              <w:rPr>
                <w:rFonts w:hint="eastAsia" w:ascii="宋体" w:hAnsi="宋体" w:cs="宋体"/>
                <w:sz w:val="24"/>
                <w:szCs w:val="24"/>
              </w:rPr>
              <w:t>操控面板采用黑色哑光3mm厚ABS吸塑一次成型，外部尺寸长1200mm宽520mm高131mm，中间操控板安装位置尺寸长1086mm宽406mm，边角R为5mm拔模角度5°，吸塑操控面板上面边缘设有11mm高一字型流线装饰条纹凹凸别致美观大方。操控面板吸塑内部配置高强度钢骨架，用于与吸塑立柱连接并固定操控面板。</w:t>
            </w:r>
            <w:r>
              <w:rPr>
                <w:rFonts w:hint="eastAsia" w:ascii="宋体" w:hAnsi="宋体" w:cs="宋体"/>
                <w:b/>
                <w:bCs/>
                <w:sz w:val="24"/>
                <w:szCs w:val="24"/>
              </w:rPr>
              <w:t>（投标文件中需提供第三方权威机构出具的产品检测报告复印件并加盖投标人公章），提供得2分，不提供不得分。</w:t>
            </w:r>
          </w:p>
          <w:p w14:paraId="06CDE28A">
            <w:pPr>
              <w:pStyle w:val="83"/>
              <w:spacing w:line="240" w:lineRule="auto"/>
              <w:rPr>
                <w:rFonts w:ascii="宋体" w:hAnsi="宋体" w:eastAsia="宋体" w:cs="宋体"/>
                <w:szCs w:val="24"/>
              </w:rPr>
            </w:pPr>
            <w:r>
              <w:rPr>
                <w:rFonts w:ascii="宋体" w:hAnsi="宋体" w:eastAsia="宋体" w:cs="宋体"/>
                <w:color w:val="auto"/>
                <w:szCs w:val="24"/>
              </w:rPr>
              <w:t>2.软件功能包括正常模式和基本模式，正常模式包括起步工况、正常行驶工况、加速行驶工况、高速行驶工况、电池低电工况。基础模式包含纯电驱动、纯油驱动、油电混合驱动。在原车总成三维模型的基础上，制作3D动画演示以上工作模式，并配文字说明各个工况运行过程</w:t>
            </w:r>
            <w:r>
              <w:rPr>
                <w:rFonts w:ascii="宋体" w:hAnsi="宋体" w:eastAsia="宋体" w:cs="宋体"/>
                <w:szCs w:val="24"/>
              </w:rPr>
              <w:t>。</w:t>
            </w:r>
            <w:r>
              <w:rPr>
                <w:rFonts w:ascii="宋体" w:hAnsi="宋体" w:eastAsia="宋体" w:cs="宋体"/>
                <w:b/>
                <w:bCs/>
                <w:color w:val="auto"/>
                <w:szCs w:val="24"/>
              </w:rPr>
              <w:t>（投标文件中需提供此功能截图并加盖投标人公章），</w:t>
            </w:r>
            <w:r>
              <w:rPr>
                <w:rFonts w:ascii="宋体" w:hAnsi="宋体" w:eastAsia="宋体" w:cs="宋体"/>
                <w:b/>
                <w:bCs/>
                <w:szCs w:val="24"/>
              </w:rPr>
              <w:t>提供符合要求的得1分，不提供不得分。</w:t>
            </w:r>
          </w:p>
          <w:p w14:paraId="23786A27">
            <w:pPr>
              <w:pStyle w:val="83"/>
              <w:spacing w:line="240" w:lineRule="auto"/>
              <w:rPr>
                <w:rFonts w:ascii="宋体" w:hAnsi="宋体" w:eastAsia="宋体" w:cs="宋体"/>
                <w:b/>
                <w:bCs/>
                <w:color w:val="auto"/>
                <w:szCs w:val="24"/>
              </w:rPr>
            </w:pPr>
            <w:r>
              <w:rPr>
                <w:rFonts w:ascii="宋体" w:hAnsi="宋体" w:eastAsia="宋体" w:cs="宋体"/>
                <w:szCs w:val="24"/>
              </w:rPr>
              <w:t>3.混合动力汽车各个总成识别包含电机、发动机、动力电池。</w:t>
            </w:r>
            <w:r>
              <w:rPr>
                <w:rFonts w:ascii="宋体" w:hAnsi="宋体" w:eastAsia="宋体" w:cs="宋体"/>
                <w:szCs w:val="24"/>
              </w:rPr>
              <w:br w:type="textWrapping"/>
            </w:r>
            <w:r>
              <w:rPr>
                <w:rFonts w:ascii="宋体" w:hAnsi="宋体" w:eastAsia="宋体" w:cs="宋体"/>
                <w:szCs w:val="24"/>
              </w:rPr>
              <w:t>与下位机联系的有起步工况、正常行驶、加速行驶、高速行驶、减速行驶、电池电量低等六个模式。不与下位机联系的有纯电模式、纯油模式、油电混合模式等三个基础部分。每一部分都有一个动画以及一部分说明组成，可以选择显示动画、说明，也可以选择全显示，每个模式切换的过程中，十秒内只能切换一个模式。</w:t>
            </w:r>
            <w:r>
              <w:rPr>
                <w:rFonts w:ascii="宋体" w:hAnsi="宋体" w:eastAsia="宋体" w:cs="宋体"/>
                <w:b/>
                <w:bCs/>
                <w:color w:val="auto"/>
                <w:szCs w:val="24"/>
              </w:rPr>
              <w:t>（投标文件中需提供此功能截图并加盖投标人公章），</w:t>
            </w:r>
            <w:r>
              <w:rPr>
                <w:rFonts w:ascii="宋体" w:hAnsi="宋体" w:eastAsia="宋体" w:cs="宋体"/>
                <w:b/>
                <w:bCs/>
                <w:szCs w:val="24"/>
              </w:rPr>
              <w:t>提供符合要求的得1分，不提供不得分。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5D8D1F7A">
            <w:pPr>
              <w:pStyle w:val="3"/>
              <w:spacing w:before="0" w:after="0"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0-4分</w:t>
            </w:r>
          </w:p>
        </w:tc>
        <w:tc>
          <w:tcPr>
            <w:tcW w:w="548" w:type="pct"/>
            <w:tcBorders>
              <w:top w:val="single" w:color="auto" w:sz="4" w:space="0"/>
              <w:left w:val="single" w:color="auto" w:sz="4" w:space="0"/>
              <w:bottom w:val="single" w:color="auto" w:sz="4" w:space="0"/>
              <w:right w:val="single" w:color="auto" w:sz="8" w:space="0"/>
            </w:tcBorders>
            <w:vAlign w:val="center"/>
          </w:tcPr>
          <w:p w14:paraId="09FD65D6">
            <w:pPr>
              <w:jc w:val="center"/>
              <w:rPr>
                <w:rFonts w:hint="eastAsia" w:ascii="宋体" w:hAnsi="宋体" w:cs="宋体"/>
                <w:sz w:val="24"/>
                <w:szCs w:val="24"/>
              </w:rPr>
            </w:pPr>
            <w:r>
              <w:rPr>
                <w:rFonts w:hint="eastAsia" w:ascii="宋体" w:hAnsi="宋体" w:cs="宋体"/>
                <w:sz w:val="24"/>
                <w:szCs w:val="24"/>
              </w:rPr>
              <w:t>客观分</w:t>
            </w:r>
          </w:p>
        </w:tc>
      </w:tr>
      <w:tr w14:paraId="1E264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54" w:type="pct"/>
            <w:tcBorders>
              <w:top w:val="single" w:color="auto" w:sz="4" w:space="0"/>
              <w:left w:val="single" w:color="auto" w:sz="8" w:space="0"/>
              <w:right w:val="single" w:color="auto" w:sz="4" w:space="0"/>
            </w:tcBorders>
            <w:vAlign w:val="center"/>
          </w:tcPr>
          <w:p w14:paraId="6888F814">
            <w:pPr>
              <w:adjustRightInd w:val="0"/>
              <w:snapToGrid w:val="0"/>
              <w:jc w:val="center"/>
              <w:rPr>
                <w:rFonts w:hint="eastAsia" w:ascii="宋体" w:hAnsi="宋体" w:cs="宋体"/>
                <w:sz w:val="24"/>
                <w:szCs w:val="24"/>
              </w:rPr>
            </w:pPr>
            <w:r>
              <w:rPr>
                <w:rFonts w:hint="eastAsia" w:ascii="宋体" w:hAnsi="宋体" w:cs="宋体"/>
                <w:sz w:val="24"/>
                <w:szCs w:val="24"/>
              </w:rPr>
              <w:t>11</w:t>
            </w:r>
          </w:p>
        </w:tc>
        <w:tc>
          <w:tcPr>
            <w:tcW w:w="371" w:type="pct"/>
            <w:tcBorders>
              <w:top w:val="single" w:color="auto" w:sz="4" w:space="0"/>
              <w:left w:val="single" w:color="auto" w:sz="4" w:space="0"/>
              <w:right w:val="single" w:color="auto" w:sz="4" w:space="0"/>
            </w:tcBorders>
            <w:vAlign w:val="center"/>
          </w:tcPr>
          <w:p w14:paraId="69A20F39">
            <w:pPr>
              <w:autoSpaceDE w:val="0"/>
              <w:autoSpaceDN w:val="0"/>
              <w:adjustRightInd w:val="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技术</w:t>
            </w:r>
          </w:p>
        </w:tc>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092EF67F">
            <w:pPr>
              <w:pStyle w:val="83"/>
              <w:spacing w:line="240" w:lineRule="auto"/>
              <w:rPr>
                <w:rFonts w:ascii="宋体" w:hAnsi="宋体" w:eastAsia="宋体" w:cs="宋体"/>
                <w:kern w:val="0"/>
                <w:szCs w:val="24"/>
                <w:lang w:bidi="ar"/>
              </w:rPr>
            </w:pPr>
            <w:r>
              <w:rPr>
                <w:rFonts w:ascii="宋体" w:hAnsi="宋体" w:eastAsia="宋体" w:cs="宋体"/>
                <w:kern w:val="0"/>
                <w:szCs w:val="24"/>
                <w:lang w:bidi="ar"/>
              </w:rPr>
              <w:t>新能源汽车驱动电机VR智能教学软件系统</w:t>
            </w:r>
          </w:p>
          <w:p w14:paraId="69B3121E">
            <w:pPr>
              <w:pStyle w:val="83"/>
              <w:spacing w:line="240" w:lineRule="auto"/>
              <w:rPr>
                <w:rFonts w:ascii="宋体" w:hAnsi="宋体" w:eastAsia="宋体" w:cs="宋体"/>
                <w:b/>
                <w:bCs/>
                <w:szCs w:val="24"/>
              </w:rPr>
            </w:pPr>
            <w:r>
              <w:rPr>
                <w:rFonts w:ascii="宋体" w:hAnsi="宋体" w:eastAsia="宋体" w:cs="宋体"/>
                <w:kern w:val="0"/>
                <w:szCs w:val="24"/>
                <w:lang w:bidi="ar"/>
              </w:rPr>
              <w:t>1、通过1:1建模在3D环境内真实呈现了驱动电机的基本结构，将驱动电机分解展示：电机后端盖螺丝、电机后端盖、电机温度传感器插接件、电机转速传感器插接件、旋转变压器插头、后端轴承、电机转速传感器定子、传感器压盘、传感器固定螺栓、旋变转子、电机转子、前端轴承、内花键、电机定子固定螺栓、三相绕组连接端子、电机温度传感器、电机定子总成、固定螺栓、接线盒、固定螺栓、电机空气平衡口、接线盒盖板、冷却水管接头、冷却液排气孔、电机壳体、冷却水管接头、固定螺栓、冷却液排放口螺丝、密封环、卡簧、冷却液温度传感器等31个零部件；详细语音讲解及文字介绍。电机系统模块还配备有低温工况、高温工况原理动画，通过生动的三维动画，使学员更容易学习总成工作及原理。</w:t>
            </w:r>
            <w:r>
              <w:rPr>
                <w:rFonts w:ascii="宋体" w:hAnsi="宋体" w:eastAsia="宋体" w:cs="宋体"/>
                <w:b/>
                <w:bCs/>
                <w:color w:val="auto"/>
                <w:szCs w:val="24"/>
              </w:rPr>
              <w:t>（投标文件中需提供低温工况、高温工况原理动画截图并加盖投标人公章），</w:t>
            </w:r>
            <w:r>
              <w:rPr>
                <w:rFonts w:ascii="宋体" w:hAnsi="宋体" w:eastAsia="宋体" w:cs="宋体"/>
                <w:b/>
                <w:bCs/>
                <w:szCs w:val="24"/>
              </w:rPr>
              <w:t>提供符合要求的得1分，不提供不得分。</w:t>
            </w:r>
          </w:p>
          <w:p w14:paraId="5EDF012F">
            <w:pPr>
              <w:pStyle w:val="83"/>
              <w:spacing w:line="240" w:lineRule="auto"/>
              <w:rPr>
                <w:rFonts w:hint="default" w:ascii="宋体" w:hAnsi="宋体" w:eastAsia="宋体" w:cs="宋体"/>
                <w:b/>
                <w:bCs/>
                <w:color w:val="auto"/>
                <w:szCs w:val="24"/>
              </w:rPr>
            </w:pPr>
            <w:r>
              <w:rPr>
                <w:rFonts w:ascii="宋体" w:hAnsi="宋体" w:eastAsia="宋体" w:cs="宋体"/>
                <w:szCs w:val="24"/>
              </w:rPr>
              <w:t>2、</w:t>
            </w:r>
            <w:r>
              <w:rPr>
                <w:rFonts w:ascii="宋体" w:hAnsi="宋体" w:eastAsia="宋体" w:cs="宋体"/>
                <w:kern w:val="0"/>
                <w:szCs w:val="24"/>
                <w:lang w:bidi="ar"/>
              </w:rPr>
              <w:t>配有答题模式，根据学生所学的知识进行考核，加深学生对所学章节的印象。系统根据本次所学得知生成试卷，通过语音读题、字幕同步显示、自动评判、错误提示、设有专门的功</w:t>
            </w:r>
            <w:r>
              <w:rPr>
                <w:rFonts w:ascii="宋体" w:hAnsi="宋体" w:eastAsia="宋体" w:cs="宋体"/>
                <w:color w:val="auto"/>
                <w:kern w:val="0"/>
                <w:szCs w:val="24"/>
                <w:lang w:bidi="ar"/>
              </w:rPr>
              <w:t>能区，并引导和鼓励学生再次学习。使学生主动学习并验证自己的学习效果。</w:t>
            </w:r>
            <w:r>
              <w:rPr>
                <w:rFonts w:ascii="宋体" w:hAnsi="宋体" w:eastAsia="宋体" w:cs="宋体"/>
                <w:b/>
                <w:bCs/>
                <w:color w:val="auto"/>
                <w:szCs w:val="24"/>
              </w:rPr>
              <w:t>（投标文件中需提供此功能截图并加盖投标人公章）提供符合要求的得1分，不提供不得分。</w:t>
            </w:r>
          </w:p>
          <w:p w14:paraId="15CAFAA4">
            <w:pPr>
              <w:pStyle w:val="83"/>
              <w:spacing w:line="240" w:lineRule="auto"/>
              <w:rPr>
                <w:rFonts w:ascii="宋体" w:hAnsi="宋体" w:eastAsia="宋体" w:cs="宋体"/>
                <w:b/>
                <w:bCs/>
                <w:szCs w:val="24"/>
              </w:rPr>
            </w:pPr>
            <w:r>
              <w:rPr>
                <w:rFonts w:ascii="宋体" w:hAnsi="宋体" w:eastAsia="宋体" w:cs="宋体"/>
                <w:color w:val="auto"/>
                <w:kern w:val="0"/>
                <w:szCs w:val="24"/>
                <w:lang w:bidi="ar"/>
              </w:rPr>
              <w:t>3、电机模块主要展示电机各部件的认知和结构原理，代替老师讲解新能源汽车驱动电机结构各零部件作用。</w:t>
            </w:r>
            <w:r>
              <w:rPr>
                <w:rFonts w:ascii="宋体" w:hAnsi="宋体" w:eastAsia="宋体" w:cs="宋体"/>
                <w:b/>
                <w:bCs/>
                <w:color w:val="auto"/>
                <w:szCs w:val="24"/>
              </w:rPr>
              <w:t>（投标文件中需提供此功能截图并加盖投标人公章）提供符合要求的得1分，不提供不得分。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26FE3514">
            <w:pPr>
              <w:pStyle w:val="3"/>
              <w:spacing w:before="0" w:after="0"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0-3分</w:t>
            </w:r>
          </w:p>
        </w:tc>
        <w:tc>
          <w:tcPr>
            <w:tcW w:w="548" w:type="pct"/>
            <w:tcBorders>
              <w:top w:val="single" w:color="auto" w:sz="4" w:space="0"/>
              <w:left w:val="single" w:color="auto" w:sz="4" w:space="0"/>
              <w:bottom w:val="single" w:color="auto" w:sz="4" w:space="0"/>
              <w:right w:val="single" w:color="auto" w:sz="8" w:space="0"/>
            </w:tcBorders>
            <w:vAlign w:val="center"/>
          </w:tcPr>
          <w:p w14:paraId="01470F65">
            <w:pPr>
              <w:jc w:val="center"/>
              <w:rPr>
                <w:rFonts w:hint="eastAsia" w:ascii="宋体" w:hAnsi="宋体" w:cs="宋体"/>
                <w:sz w:val="24"/>
                <w:szCs w:val="24"/>
              </w:rPr>
            </w:pPr>
            <w:r>
              <w:rPr>
                <w:rFonts w:hint="eastAsia" w:ascii="宋体" w:hAnsi="宋体" w:cs="宋体"/>
                <w:sz w:val="24"/>
                <w:szCs w:val="24"/>
              </w:rPr>
              <w:t>客观分</w:t>
            </w:r>
          </w:p>
        </w:tc>
      </w:tr>
      <w:tr w14:paraId="512F8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54" w:type="pct"/>
            <w:tcBorders>
              <w:top w:val="single" w:color="auto" w:sz="4" w:space="0"/>
              <w:left w:val="single" w:color="auto" w:sz="8" w:space="0"/>
              <w:right w:val="single" w:color="auto" w:sz="4" w:space="0"/>
            </w:tcBorders>
            <w:vAlign w:val="center"/>
          </w:tcPr>
          <w:p w14:paraId="3CBDD4B6">
            <w:pPr>
              <w:adjustRightInd w:val="0"/>
              <w:snapToGrid w:val="0"/>
              <w:jc w:val="center"/>
              <w:rPr>
                <w:rFonts w:hint="eastAsia" w:ascii="宋体" w:hAnsi="宋体" w:cs="宋体"/>
                <w:sz w:val="24"/>
                <w:szCs w:val="24"/>
              </w:rPr>
            </w:pPr>
            <w:r>
              <w:rPr>
                <w:rFonts w:hint="eastAsia" w:ascii="宋体" w:hAnsi="宋体" w:cs="宋体"/>
                <w:sz w:val="24"/>
                <w:szCs w:val="24"/>
              </w:rPr>
              <w:t>12</w:t>
            </w:r>
          </w:p>
        </w:tc>
        <w:tc>
          <w:tcPr>
            <w:tcW w:w="371" w:type="pct"/>
            <w:tcBorders>
              <w:top w:val="single" w:color="auto" w:sz="4" w:space="0"/>
              <w:left w:val="single" w:color="auto" w:sz="4" w:space="0"/>
              <w:right w:val="single" w:color="auto" w:sz="4" w:space="0"/>
            </w:tcBorders>
            <w:vAlign w:val="center"/>
          </w:tcPr>
          <w:p w14:paraId="599614A2">
            <w:pPr>
              <w:autoSpaceDE w:val="0"/>
              <w:autoSpaceDN w:val="0"/>
              <w:adjustRightInd w:val="0"/>
              <w:jc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技术</w:t>
            </w:r>
          </w:p>
        </w:tc>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6DA26A28">
            <w:pPr>
              <w:pStyle w:val="83"/>
              <w:spacing w:line="240" w:lineRule="auto"/>
              <w:rPr>
                <w:rFonts w:ascii="宋体" w:hAnsi="宋体" w:eastAsia="宋体" w:cs="宋体"/>
                <w:kern w:val="0"/>
                <w:szCs w:val="24"/>
                <w:lang w:bidi="ar"/>
              </w:rPr>
            </w:pPr>
            <w:r>
              <w:rPr>
                <w:rFonts w:ascii="宋体" w:hAnsi="宋体" w:eastAsia="宋体" w:cs="宋体"/>
                <w:kern w:val="0"/>
                <w:szCs w:val="24"/>
                <w:lang w:bidi="ar"/>
              </w:rPr>
              <w:t>新能源汽车高压控制器及高压安全VR智能教学软件系统</w:t>
            </w:r>
          </w:p>
          <w:p w14:paraId="0ACF8289">
            <w:pPr>
              <w:pStyle w:val="83"/>
              <w:spacing w:line="240" w:lineRule="auto"/>
              <w:rPr>
                <w:rFonts w:ascii="宋体" w:hAnsi="宋体" w:eastAsia="宋体" w:cs="宋体"/>
                <w:szCs w:val="24"/>
              </w:rPr>
            </w:pPr>
            <w:r>
              <w:rPr>
                <w:rFonts w:ascii="宋体" w:hAnsi="宋体" w:eastAsia="宋体" w:cs="宋体"/>
                <w:kern w:val="0"/>
                <w:szCs w:val="24"/>
                <w:lang w:bidi="ar"/>
              </w:rPr>
              <w:t>1、安全警示模块（通过动画模拟纯电动汽车，充电操作不规范造成的人身伤害，和拆卸配电箱元器件操作不规范造成的人身伤害以及正确操作流程）通过本系统学生可以认识到新能源汽车操作流程不规范所造成的故障的严重性，模拟在现实中容易发生的情况。</w:t>
            </w:r>
            <w:r>
              <w:rPr>
                <w:rFonts w:ascii="宋体" w:hAnsi="宋体" w:eastAsia="宋体" w:cs="宋体"/>
                <w:b/>
                <w:bCs/>
                <w:color w:val="auto"/>
                <w:szCs w:val="24"/>
              </w:rPr>
              <w:t>（投标文件中需提供此功能截图并加盖投标人公章）</w:t>
            </w:r>
            <w:r>
              <w:rPr>
                <w:rFonts w:ascii="宋体" w:hAnsi="宋体" w:eastAsia="宋体" w:cs="宋体"/>
                <w:b/>
                <w:bCs/>
                <w:szCs w:val="24"/>
              </w:rPr>
              <w:t>提供符合要求的得1分，不提供不得分。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55CF7AF0">
            <w:pPr>
              <w:pStyle w:val="3"/>
              <w:spacing w:before="0" w:after="0" w:line="240" w:lineRule="auto"/>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0-1分</w:t>
            </w:r>
          </w:p>
        </w:tc>
        <w:tc>
          <w:tcPr>
            <w:tcW w:w="548" w:type="pct"/>
            <w:tcBorders>
              <w:top w:val="single" w:color="auto" w:sz="4" w:space="0"/>
              <w:left w:val="single" w:color="auto" w:sz="4" w:space="0"/>
              <w:bottom w:val="single" w:color="auto" w:sz="4" w:space="0"/>
              <w:right w:val="single" w:color="auto" w:sz="8" w:space="0"/>
            </w:tcBorders>
            <w:vAlign w:val="center"/>
          </w:tcPr>
          <w:p w14:paraId="13AC39BC">
            <w:pPr>
              <w:jc w:val="center"/>
              <w:rPr>
                <w:rFonts w:hint="eastAsia" w:ascii="宋体" w:hAnsi="宋体" w:cs="宋体"/>
                <w:sz w:val="24"/>
                <w:szCs w:val="24"/>
              </w:rPr>
            </w:pPr>
            <w:r>
              <w:rPr>
                <w:rFonts w:hint="eastAsia" w:ascii="宋体" w:hAnsi="宋体" w:cs="宋体"/>
                <w:sz w:val="24"/>
                <w:szCs w:val="24"/>
              </w:rPr>
              <w:t>客观分</w:t>
            </w:r>
          </w:p>
        </w:tc>
      </w:tr>
      <w:tr w14:paraId="53DC9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54" w:type="pct"/>
            <w:tcBorders>
              <w:left w:val="single" w:color="auto" w:sz="8" w:space="0"/>
              <w:right w:val="single" w:color="auto" w:sz="4" w:space="0"/>
            </w:tcBorders>
            <w:vAlign w:val="center"/>
          </w:tcPr>
          <w:p w14:paraId="28688D3E">
            <w:pPr>
              <w:widowControl/>
              <w:jc w:val="center"/>
              <w:rPr>
                <w:rFonts w:hint="eastAsia" w:ascii="宋体" w:hAnsi="宋体" w:cs="宋体"/>
                <w:sz w:val="24"/>
                <w:szCs w:val="24"/>
              </w:rPr>
            </w:pPr>
            <w:r>
              <w:rPr>
                <w:rFonts w:hint="eastAsia" w:ascii="宋体" w:hAnsi="宋体" w:cs="宋体"/>
                <w:sz w:val="24"/>
                <w:szCs w:val="24"/>
              </w:rPr>
              <w:t>13</w:t>
            </w:r>
          </w:p>
        </w:tc>
        <w:tc>
          <w:tcPr>
            <w:tcW w:w="371" w:type="pct"/>
            <w:tcBorders>
              <w:left w:val="single" w:color="auto" w:sz="4" w:space="0"/>
              <w:right w:val="single" w:color="auto" w:sz="4" w:space="0"/>
            </w:tcBorders>
            <w:shd w:val="clear" w:color="auto" w:fill="auto"/>
            <w:vAlign w:val="center"/>
          </w:tcPr>
          <w:p w14:paraId="4DFF502D">
            <w:pPr>
              <w:jc w:val="center"/>
              <w:rPr>
                <w:rFonts w:hint="eastAsia" w:ascii="宋体" w:hAnsi="宋体" w:cs="宋体"/>
                <w:color w:val="auto"/>
                <w:kern w:val="0"/>
                <w:sz w:val="24"/>
                <w:szCs w:val="24"/>
                <w:lang w:bidi="ar"/>
              </w:rPr>
            </w:pPr>
            <w:r>
              <w:rPr>
                <w:rFonts w:hint="eastAsia" w:ascii="宋体" w:hAnsi="宋体" w:cs="宋体"/>
                <w:color w:val="auto"/>
                <w:kern w:val="0"/>
                <w:sz w:val="24"/>
                <w:szCs w:val="24"/>
                <w:lang w:bidi="ar"/>
              </w:rPr>
              <w:t>技术</w:t>
            </w:r>
          </w:p>
        </w:tc>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71619002">
            <w:pPr>
              <w:widowControl/>
              <w:snapToGrid w:val="0"/>
              <w:jc w:val="left"/>
              <w:rPr>
                <w:rFonts w:hint="eastAsia" w:ascii="宋体" w:hAnsi="宋体" w:cs="宋体"/>
                <w:color w:val="auto"/>
                <w:kern w:val="0"/>
                <w:sz w:val="24"/>
                <w:szCs w:val="24"/>
                <w:lang w:bidi="ar"/>
              </w:rPr>
            </w:pPr>
            <w:bookmarkStart w:id="18" w:name="OLE_LINK8"/>
            <w:r>
              <w:rPr>
                <w:rFonts w:hint="eastAsia" w:ascii="宋体" w:hAnsi="宋体" w:cs="宋体"/>
                <w:color w:val="auto"/>
                <w:kern w:val="0"/>
                <w:sz w:val="24"/>
                <w:szCs w:val="24"/>
                <w:lang w:bidi="ar"/>
              </w:rPr>
              <w:t>一、新能源汽车动力电池VR智能教学软件系统</w:t>
            </w:r>
          </w:p>
          <w:bookmarkEnd w:id="18"/>
          <w:p w14:paraId="46DE9C67">
            <w:pPr>
              <w:widowControl/>
              <w:snapToGrid w:val="0"/>
              <w:jc w:val="left"/>
              <w:rPr>
                <w:rFonts w:ascii="宋体" w:hAnsi="宋体" w:cs="宋体"/>
                <w:color w:val="auto"/>
                <w:kern w:val="0"/>
                <w:sz w:val="24"/>
                <w:szCs w:val="24"/>
                <w:lang w:bidi="ar"/>
              </w:rPr>
            </w:pPr>
            <w:r>
              <w:rPr>
                <w:rFonts w:hint="eastAsia" w:ascii="宋体" w:hAnsi="宋体" w:cs="宋体"/>
                <w:color w:val="auto"/>
                <w:kern w:val="0"/>
                <w:sz w:val="24"/>
                <w:szCs w:val="24"/>
                <w:lang w:bidi="ar"/>
              </w:rPr>
              <w:t>1、通过1:1建模在3D环境内真实呈现了动力电池的基本结构，将电池分解展示为:电池单体、连接片、连接螺栓、温度传感器、分采集控制单元、保险丝、控制继电器（维修开关）、BMS单元、电池盖板、电池护板等15个零部件。详细语音讲解及文字介绍。内置高温管理、低温管理、过压管理、欠压管理、过冲管理和过放管理，通过生动的三维动画方式，还原真实的工作原理，使学员更容易学习。（投标现场需提供高温管理、低温管理、过压管理、欠压管理、过冲管理和过放管理动画截图并加盖投标人公章），每提供1项得0.5分，最多3分，不提供不得分。</w:t>
            </w:r>
          </w:p>
          <w:p w14:paraId="65230909">
            <w:pPr>
              <w:widowControl/>
              <w:snapToGrid w:val="0"/>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2、动力电池模块主要展示动力电池各部件的认知和结构原理，代替老师讲解新能源汽车变速器机构各零部件作用。（投标供应商需提供满足参数的系统功能截图）</w:t>
            </w:r>
            <w:r>
              <w:rPr>
                <w:rFonts w:hint="eastAsia" w:ascii="宋体" w:hAnsi="宋体" w:cs="宋体"/>
                <w:b/>
                <w:bCs/>
                <w:color w:val="auto"/>
                <w:sz w:val="24"/>
                <w:szCs w:val="24"/>
              </w:rPr>
              <w:t>提供符合要求的得0.5分，不提供不得分。</w:t>
            </w:r>
          </w:p>
          <w:p w14:paraId="0C1E9483">
            <w:pPr>
              <w:widowControl/>
              <w:snapToGrid w:val="0"/>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3、通过3D特效展示了动力电池内部结构及工作原理，可根据学习需要，重复学习重点或难懂的知识点。能够解决新能源汽车教学和实训中看不见、查不到、拆不开、无法重复使用等问题。（投标供应商需提供满足参数的系统功能截图）</w:t>
            </w:r>
            <w:r>
              <w:rPr>
                <w:rFonts w:hint="eastAsia" w:ascii="宋体" w:hAnsi="宋体" w:cs="宋体"/>
                <w:b/>
                <w:bCs/>
                <w:color w:val="auto"/>
                <w:sz w:val="24"/>
                <w:szCs w:val="24"/>
              </w:rPr>
              <w:t>提供符合要求的得0.5分，不提供不得分。</w:t>
            </w:r>
          </w:p>
          <w:p w14:paraId="0C340AD5">
            <w:pPr>
              <w:widowControl/>
              <w:snapToGrid w:val="0"/>
              <w:jc w:val="left"/>
              <w:rPr>
                <w:rFonts w:ascii="宋体" w:hAnsi="宋体" w:cs="宋体"/>
                <w:color w:val="auto"/>
                <w:kern w:val="0"/>
                <w:sz w:val="24"/>
                <w:szCs w:val="24"/>
                <w:lang w:bidi="ar"/>
              </w:rPr>
            </w:pPr>
            <w:r>
              <w:rPr>
                <w:rFonts w:hint="eastAsia" w:ascii="宋体" w:hAnsi="宋体" w:cs="宋体"/>
                <w:color w:val="auto"/>
                <w:kern w:val="0"/>
                <w:sz w:val="24"/>
                <w:szCs w:val="24"/>
                <w:lang w:bidi="ar"/>
              </w:rPr>
              <w:t>二、新能源汽车变速器VR智能教学软件系统</w:t>
            </w:r>
          </w:p>
          <w:p w14:paraId="43904B6B">
            <w:pPr>
              <w:widowControl/>
              <w:snapToGrid w:val="0"/>
              <w:jc w:val="left"/>
              <w:rPr>
                <w:rFonts w:ascii="宋体" w:hAnsi="宋体" w:cs="宋体"/>
                <w:b/>
                <w:bCs/>
                <w:color w:val="auto"/>
                <w:sz w:val="24"/>
                <w:szCs w:val="24"/>
              </w:rPr>
            </w:pPr>
            <w:r>
              <w:rPr>
                <w:rFonts w:hint="eastAsia" w:ascii="宋体" w:hAnsi="宋体" w:cs="宋体"/>
                <w:color w:val="auto"/>
                <w:kern w:val="0"/>
                <w:sz w:val="24"/>
                <w:szCs w:val="24"/>
                <w:lang w:bidi="ar"/>
              </w:rPr>
              <w:t>1、通过1:1建模在3D环境内真实呈现了变速器的基本结构，将变速器分解展示：变速器壳体固定螺栓、变速器前壳体、密封环、输入轴油封、输出轴油封、防尘盖、波纹形弹簧、输入轴前端轴承、输入轴轴承固定架、输入轴轴承固定架螺栓、输入轴齿轮、输入轴后端轴承、轴承、固定架、螺栓、中间轴及齿轮、中间轴后端轴承卡簧、中间轴后端轴承、短轴、半轴油封工作面、内球笼卡簧、永磁铁、差速器轴承、螺栓及固定架、短轴紧固螺栓、主减速齿轮、预紧弹簧、弹簧座、锥形挡圈、预紧胶圈、差速器壳体、半轴齿轮垫片、半轴齿轮、短轴固定螺母、行星齿轮、行星齿轮垫片、变速器后壳体、注油和油面螺栓、放油螺栓等39个零部件；详细语音讲解及文字介绍。</w:t>
            </w:r>
            <w:bookmarkStart w:id="19" w:name="OLE_LINK10"/>
            <w:r>
              <w:rPr>
                <w:rFonts w:hint="eastAsia" w:ascii="宋体" w:hAnsi="宋体" w:cs="宋体"/>
                <w:color w:val="auto"/>
                <w:kern w:val="0"/>
                <w:sz w:val="24"/>
                <w:szCs w:val="24"/>
                <w:lang w:bidi="ar"/>
              </w:rPr>
              <w:t>（投标供应商需提供满足参数的系统功能截图）</w:t>
            </w:r>
            <w:r>
              <w:rPr>
                <w:rFonts w:hint="eastAsia" w:ascii="宋体" w:hAnsi="宋体" w:cs="宋体"/>
                <w:b/>
                <w:bCs/>
                <w:color w:val="auto"/>
                <w:sz w:val="24"/>
                <w:szCs w:val="24"/>
              </w:rPr>
              <w:t>提供符合要求的得1分，不提供不得分。</w:t>
            </w:r>
            <w:bookmarkEnd w:id="19"/>
          </w:p>
          <w:p w14:paraId="11AA3100">
            <w:pPr>
              <w:widowControl/>
              <w:snapToGrid w:val="0"/>
              <w:jc w:val="left"/>
              <w:rPr>
                <w:rFonts w:ascii="宋体" w:hAnsi="宋体" w:cs="宋体"/>
                <w:b/>
                <w:bCs/>
                <w:color w:val="auto"/>
                <w:sz w:val="24"/>
                <w:szCs w:val="24"/>
              </w:rPr>
            </w:pPr>
            <w:r>
              <w:rPr>
                <w:rFonts w:hint="eastAsia" w:ascii="宋体" w:hAnsi="宋体" w:cs="宋体"/>
                <w:color w:val="auto"/>
                <w:kern w:val="0"/>
                <w:sz w:val="24"/>
                <w:szCs w:val="24"/>
                <w:lang w:bidi="ar"/>
              </w:rPr>
              <w:t>2、变速器模块主要展示变速器各部件的认知和结构原理，代替老师讲解新能源汽车变速器机构各零部件作用。（投标供应商需提供满足参数的系统功能截图）</w:t>
            </w:r>
            <w:r>
              <w:rPr>
                <w:rFonts w:hint="eastAsia" w:ascii="宋体" w:hAnsi="宋体" w:cs="宋体"/>
                <w:b/>
                <w:bCs/>
                <w:color w:val="auto"/>
                <w:sz w:val="24"/>
                <w:szCs w:val="24"/>
              </w:rPr>
              <w:t>提供符合要求的得0.5分，不提供不得分。</w:t>
            </w:r>
          </w:p>
          <w:p w14:paraId="79E08F69">
            <w:pPr>
              <w:widowControl/>
              <w:snapToGrid w:val="0"/>
              <w:jc w:val="left"/>
              <w:rPr>
                <w:rFonts w:hint="eastAsia" w:ascii="宋体" w:hAnsi="宋体" w:cs="宋体"/>
                <w:color w:val="auto"/>
                <w:kern w:val="0"/>
                <w:sz w:val="24"/>
                <w:szCs w:val="24"/>
                <w:lang w:bidi="ar"/>
              </w:rPr>
            </w:pPr>
            <w:r>
              <w:rPr>
                <w:rFonts w:hint="eastAsia" w:ascii="宋体" w:hAnsi="宋体" w:cs="宋体"/>
                <w:color w:val="auto"/>
                <w:kern w:val="0"/>
                <w:sz w:val="24"/>
                <w:szCs w:val="24"/>
                <w:lang w:bidi="ar"/>
              </w:rPr>
              <w:t>3、通过3D特效展示了变速器内部结构及工作原理，可根据学习需要，重复学习重点或难懂的知识点。能够解决新能源汽车教学和实训中看不见、查不到、拆不开、无法重复使用等问题。（投标供应商需提供满足参数的系统功能截图）</w:t>
            </w:r>
            <w:r>
              <w:rPr>
                <w:rFonts w:hint="eastAsia" w:ascii="宋体" w:hAnsi="宋体" w:cs="宋体"/>
                <w:b/>
                <w:bCs/>
                <w:color w:val="auto"/>
                <w:sz w:val="24"/>
                <w:szCs w:val="24"/>
              </w:rPr>
              <w:t>提供符合要求的得0.5分，不提供不得分。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36EAAC0D">
            <w:pPr>
              <w:widowControl/>
              <w:jc w:val="center"/>
              <w:textAlignment w:val="center"/>
              <w:rPr>
                <w:rFonts w:hint="eastAsia" w:ascii="宋体" w:hAnsi="宋体" w:cs="宋体"/>
                <w:color w:val="000000"/>
                <w:sz w:val="24"/>
                <w:szCs w:val="24"/>
              </w:rPr>
            </w:pPr>
            <w:r>
              <w:rPr>
                <w:rFonts w:hint="eastAsia" w:ascii="宋体" w:hAnsi="宋体" w:cs="宋体"/>
                <w:color w:val="000000"/>
                <w:sz w:val="24"/>
                <w:szCs w:val="24"/>
              </w:rPr>
              <w:t>0-6分</w:t>
            </w:r>
          </w:p>
        </w:tc>
        <w:tc>
          <w:tcPr>
            <w:tcW w:w="548" w:type="pct"/>
            <w:tcBorders>
              <w:top w:val="single" w:color="auto" w:sz="4" w:space="0"/>
              <w:left w:val="single" w:color="auto" w:sz="4" w:space="0"/>
              <w:bottom w:val="single" w:color="auto" w:sz="4" w:space="0"/>
              <w:right w:val="single" w:color="auto" w:sz="8" w:space="0"/>
            </w:tcBorders>
            <w:vAlign w:val="center"/>
          </w:tcPr>
          <w:p w14:paraId="63D740C4">
            <w:pPr>
              <w:jc w:val="center"/>
              <w:rPr>
                <w:rFonts w:hint="eastAsia" w:ascii="宋体" w:hAnsi="宋体" w:cs="宋体"/>
                <w:sz w:val="24"/>
                <w:szCs w:val="24"/>
              </w:rPr>
            </w:pPr>
            <w:r>
              <w:rPr>
                <w:rFonts w:hint="eastAsia" w:ascii="宋体" w:hAnsi="宋体" w:cs="宋体"/>
                <w:sz w:val="24"/>
                <w:szCs w:val="24"/>
              </w:rPr>
              <w:t>客观分</w:t>
            </w:r>
          </w:p>
        </w:tc>
      </w:tr>
      <w:tr w14:paraId="0D8EF7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07" w:hRule="atLeast"/>
        </w:trPr>
        <w:tc>
          <w:tcPr>
            <w:tcW w:w="254" w:type="pct"/>
            <w:tcBorders>
              <w:left w:val="single" w:color="auto" w:sz="8" w:space="0"/>
              <w:right w:val="single" w:color="auto" w:sz="4" w:space="0"/>
            </w:tcBorders>
            <w:vAlign w:val="center"/>
          </w:tcPr>
          <w:p w14:paraId="5143D14E">
            <w:pPr>
              <w:widowControl/>
              <w:jc w:val="center"/>
              <w:rPr>
                <w:rFonts w:hint="eastAsia" w:ascii="宋体" w:hAnsi="宋体" w:cs="宋体"/>
                <w:sz w:val="24"/>
                <w:szCs w:val="24"/>
              </w:rPr>
            </w:pPr>
            <w:r>
              <w:rPr>
                <w:rFonts w:hint="eastAsia" w:ascii="宋体" w:hAnsi="宋体" w:cs="宋体"/>
                <w:sz w:val="24"/>
                <w:szCs w:val="24"/>
              </w:rPr>
              <w:t>14</w:t>
            </w:r>
          </w:p>
        </w:tc>
        <w:tc>
          <w:tcPr>
            <w:tcW w:w="371" w:type="pct"/>
            <w:tcBorders>
              <w:left w:val="single" w:color="auto" w:sz="4" w:space="0"/>
              <w:right w:val="single" w:color="auto" w:sz="4" w:space="0"/>
            </w:tcBorders>
            <w:shd w:val="clear" w:color="auto" w:fill="auto"/>
            <w:vAlign w:val="center"/>
          </w:tcPr>
          <w:p w14:paraId="31C19153">
            <w:pPr>
              <w:jc w:val="center"/>
              <w:rPr>
                <w:rFonts w:hint="eastAsia" w:ascii="宋体" w:hAnsi="宋体" w:cs="宋体"/>
                <w:color w:val="000000"/>
                <w:sz w:val="24"/>
                <w:szCs w:val="24"/>
              </w:rPr>
            </w:pPr>
            <w:r>
              <w:rPr>
                <w:rFonts w:hint="eastAsia" w:ascii="宋体" w:hAnsi="宋体" w:cs="宋体"/>
                <w:color w:val="000000"/>
                <w:sz w:val="24"/>
                <w:szCs w:val="24"/>
              </w:rPr>
              <w:t>技术</w:t>
            </w:r>
          </w:p>
        </w:tc>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69F0FDE2">
            <w:pPr>
              <w:rPr>
                <w:rFonts w:hint="eastAsia" w:ascii="宋体" w:hAnsi="宋体" w:cs="宋体"/>
                <w:color w:val="000000"/>
                <w:sz w:val="24"/>
                <w:szCs w:val="24"/>
              </w:rPr>
            </w:pPr>
            <w:r>
              <w:rPr>
                <w:rFonts w:hint="eastAsia" w:ascii="宋体" w:hAnsi="宋体" w:cs="宋体"/>
                <w:color w:val="000000"/>
                <w:sz w:val="24"/>
                <w:szCs w:val="24"/>
              </w:rPr>
              <w:t>审查投标人提供的实施方案的详尽程度、完善性、合理性及是否满足招标文件要求等方面。实施方案包括但不限于：实施进度、人员配备、安装验收方案等。</w:t>
            </w:r>
          </w:p>
          <w:p w14:paraId="5D48B40C">
            <w:pPr>
              <w:rPr>
                <w:rFonts w:hint="eastAsia" w:ascii="宋体" w:hAnsi="宋体" w:cs="宋体"/>
                <w:color w:val="000000"/>
                <w:sz w:val="24"/>
                <w:szCs w:val="24"/>
              </w:rPr>
            </w:pPr>
            <w:r>
              <w:rPr>
                <w:rFonts w:hint="eastAsia" w:ascii="宋体" w:hAnsi="宋体" w:cs="宋体"/>
                <w:color w:val="000000"/>
                <w:sz w:val="24"/>
                <w:szCs w:val="24"/>
              </w:rPr>
              <w:t>实施方案措施详细、完善、合理并完全满足采购需求，得4分；</w:t>
            </w:r>
          </w:p>
          <w:p w14:paraId="49300E3F">
            <w:pPr>
              <w:rPr>
                <w:rFonts w:hint="eastAsia" w:ascii="宋体" w:hAnsi="宋体" w:cs="宋体"/>
                <w:color w:val="000000"/>
                <w:sz w:val="24"/>
                <w:szCs w:val="24"/>
              </w:rPr>
            </w:pPr>
            <w:r>
              <w:rPr>
                <w:rFonts w:hint="eastAsia" w:ascii="宋体" w:hAnsi="宋体" w:cs="宋体"/>
                <w:color w:val="000000"/>
                <w:sz w:val="24"/>
                <w:szCs w:val="24"/>
              </w:rPr>
              <w:t>实施方案措施较详细、完善、合理并基本满足采购需求，得2分；</w:t>
            </w:r>
          </w:p>
          <w:p w14:paraId="539F5137">
            <w:pPr>
              <w:rPr>
                <w:rFonts w:hint="eastAsia" w:ascii="宋体" w:hAnsi="宋体" w:cs="宋体"/>
                <w:color w:val="000000"/>
                <w:sz w:val="24"/>
                <w:szCs w:val="24"/>
              </w:rPr>
            </w:pPr>
            <w:r>
              <w:rPr>
                <w:rFonts w:hint="eastAsia" w:ascii="宋体" w:hAnsi="宋体" w:cs="宋体"/>
                <w:color w:val="000000"/>
                <w:sz w:val="24"/>
                <w:szCs w:val="24"/>
              </w:rPr>
              <w:t>实施方案措施不详细、基本不满足采购需求，得1分；</w:t>
            </w:r>
          </w:p>
          <w:p w14:paraId="21FB8C04">
            <w:pPr>
              <w:rPr>
                <w:rFonts w:hint="eastAsia" w:ascii="宋体" w:hAnsi="宋体" w:cs="宋体"/>
                <w:color w:val="000000"/>
                <w:sz w:val="24"/>
                <w:szCs w:val="24"/>
              </w:rPr>
            </w:pPr>
            <w:r>
              <w:rPr>
                <w:rFonts w:hint="eastAsia" w:ascii="宋体" w:hAnsi="宋体" w:cs="宋体"/>
                <w:color w:val="000000"/>
                <w:sz w:val="24"/>
                <w:szCs w:val="24"/>
              </w:rPr>
              <w:t>未提供或完全不满足采购需求，得0分。</w:t>
            </w:r>
          </w:p>
        </w:tc>
        <w:tc>
          <w:tcPr>
            <w:tcW w:w="525" w:type="pct"/>
            <w:tcBorders>
              <w:top w:val="single" w:color="auto" w:sz="4" w:space="0"/>
              <w:left w:val="single" w:color="auto" w:sz="4" w:space="0"/>
              <w:bottom w:val="single" w:color="auto" w:sz="4" w:space="0"/>
              <w:right w:val="single" w:color="auto" w:sz="4" w:space="0"/>
            </w:tcBorders>
            <w:vAlign w:val="center"/>
          </w:tcPr>
          <w:p w14:paraId="4A37318C">
            <w:pPr>
              <w:jc w:val="center"/>
              <w:rPr>
                <w:rFonts w:hint="eastAsia" w:ascii="宋体" w:hAnsi="宋体" w:cs="宋体"/>
                <w:sz w:val="24"/>
                <w:szCs w:val="24"/>
              </w:rPr>
            </w:pPr>
            <w:r>
              <w:rPr>
                <w:rFonts w:hint="eastAsia" w:ascii="宋体" w:hAnsi="宋体" w:cs="宋体"/>
                <w:sz w:val="24"/>
                <w:szCs w:val="24"/>
              </w:rPr>
              <w:t>0-4</w:t>
            </w:r>
            <w:r>
              <w:rPr>
                <w:rFonts w:hint="eastAsia" w:ascii="宋体" w:hAnsi="宋体" w:cs="宋体"/>
                <w:color w:val="000000"/>
                <w:sz w:val="24"/>
                <w:szCs w:val="24"/>
              </w:rPr>
              <w:t>分</w:t>
            </w:r>
          </w:p>
        </w:tc>
        <w:tc>
          <w:tcPr>
            <w:tcW w:w="548" w:type="pct"/>
            <w:tcBorders>
              <w:top w:val="single" w:color="auto" w:sz="4" w:space="0"/>
              <w:left w:val="single" w:color="auto" w:sz="4" w:space="0"/>
              <w:bottom w:val="single" w:color="auto" w:sz="4" w:space="0"/>
              <w:right w:val="single" w:color="auto" w:sz="8" w:space="0"/>
            </w:tcBorders>
            <w:vAlign w:val="center"/>
          </w:tcPr>
          <w:p w14:paraId="42749543">
            <w:pPr>
              <w:jc w:val="center"/>
              <w:rPr>
                <w:rFonts w:hint="eastAsia" w:ascii="宋体" w:hAnsi="宋体" w:cs="宋体"/>
                <w:sz w:val="24"/>
                <w:szCs w:val="24"/>
              </w:rPr>
            </w:pPr>
            <w:r>
              <w:rPr>
                <w:rFonts w:hint="eastAsia" w:ascii="宋体" w:hAnsi="宋体" w:cs="宋体"/>
                <w:sz w:val="24"/>
                <w:szCs w:val="24"/>
              </w:rPr>
              <w:t>主观分</w:t>
            </w:r>
          </w:p>
        </w:tc>
      </w:tr>
      <w:tr w14:paraId="07A5E7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4" w:type="pct"/>
            <w:tcBorders>
              <w:left w:val="single" w:color="auto" w:sz="8" w:space="0"/>
              <w:right w:val="single" w:color="auto" w:sz="4" w:space="0"/>
            </w:tcBorders>
            <w:vAlign w:val="center"/>
          </w:tcPr>
          <w:p w14:paraId="40ACFF91">
            <w:pPr>
              <w:widowControl/>
              <w:jc w:val="center"/>
              <w:rPr>
                <w:rFonts w:hint="eastAsia" w:ascii="宋体" w:hAnsi="宋体" w:cs="宋体"/>
                <w:sz w:val="24"/>
                <w:szCs w:val="24"/>
              </w:rPr>
            </w:pPr>
            <w:r>
              <w:rPr>
                <w:rFonts w:hint="eastAsia" w:ascii="宋体" w:hAnsi="宋体" w:cs="宋体"/>
                <w:sz w:val="24"/>
                <w:szCs w:val="24"/>
              </w:rPr>
              <w:t>15</w:t>
            </w:r>
          </w:p>
        </w:tc>
        <w:tc>
          <w:tcPr>
            <w:tcW w:w="371" w:type="pct"/>
            <w:tcBorders>
              <w:left w:val="single" w:color="auto" w:sz="4" w:space="0"/>
              <w:right w:val="single" w:color="auto" w:sz="4" w:space="0"/>
            </w:tcBorders>
            <w:shd w:val="clear" w:color="auto" w:fill="auto"/>
            <w:vAlign w:val="center"/>
          </w:tcPr>
          <w:p w14:paraId="47D53A70">
            <w:pPr>
              <w:jc w:val="center"/>
              <w:rPr>
                <w:rFonts w:hint="eastAsia" w:ascii="宋体" w:hAnsi="宋体" w:cs="宋体"/>
                <w:color w:val="000000"/>
                <w:sz w:val="24"/>
                <w:szCs w:val="24"/>
              </w:rPr>
            </w:pPr>
            <w:r>
              <w:rPr>
                <w:rFonts w:hint="eastAsia" w:ascii="宋体" w:hAnsi="宋体" w:cs="宋体"/>
                <w:color w:val="000000"/>
                <w:sz w:val="24"/>
                <w:szCs w:val="24"/>
              </w:rPr>
              <w:t>技术</w:t>
            </w:r>
          </w:p>
        </w:tc>
        <w:tc>
          <w:tcPr>
            <w:tcW w:w="3302" w:type="pct"/>
            <w:tcBorders>
              <w:top w:val="single" w:color="auto" w:sz="4" w:space="0"/>
              <w:left w:val="single" w:color="auto" w:sz="4" w:space="0"/>
              <w:bottom w:val="single" w:color="auto" w:sz="4" w:space="0"/>
              <w:right w:val="single" w:color="auto" w:sz="4" w:space="0"/>
            </w:tcBorders>
            <w:shd w:val="clear" w:color="auto" w:fill="auto"/>
            <w:vAlign w:val="center"/>
          </w:tcPr>
          <w:p w14:paraId="5A2FAF94">
            <w:pPr>
              <w:rPr>
                <w:rFonts w:hint="eastAsia" w:ascii="宋体" w:hAnsi="宋体" w:cs="宋体"/>
                <w:color w:val="000000"/>
                <w:sz w:val="24"/>
                <w:szCs w:val="24"/>
              </w:rPr>
            </w:pPr>
            <w:r>
              <w:rPr>
                <w:rFonts w:hint="eastAsia" w:ascii="宋体" w:hAnsi="宋体" w:cs="宋体"/>
                <w:color w:val="000000"/>
                <w:sz w:val="24"/>
                <w:szCs w:val="24"/>
              </w:rPr>
              <w:t>提供供货及实施方案：</w:t>
            </w:r>
          </w:p>
          <w:p w14:paraId="726FB93F">
            <w:pPr>
              <w:rPr>
                <w:rFonts w:hint="eastAsia" w:ascii="宋体" w:hAnsi="宋体" w:cs="宋体"/>
                <w:color w:val="000000"/>
                <w:sz w:val="24"/>
                <w:szCs w:val="24"/>
              </w:rPr>
            </w:pPr>
            <w:r>
              <w:rPr>
                <w:rFonts w:hint="eastAsia" w:ascii="宋体" w:hAnsi="宋体" w:cs="宋体"/>
                <w:color w:val="000000"/>
                <w:sz w:val="24"/>
                <w:szCs w:val="24"/>
              </w:rPr>
              <w:t>供货实施方案措施详细、完善、合理并完全满足采购需求，得4分；</w:t>
            </w:r>
          </w:p>
          <w:p w14:paraId="4322A916">
            <w:pPr>
              <w:rPr>
                <w:rFonts w:hint="eastAsia" w:ascii="宋体" w:hAnsi="宋体" w:cs="宋体"/>
                <w:color w:val="000000"/>
                <w:sz w:val="24"/>
                <w:szCs w:val="24"/>
              </w:rPr>
            </w:pPr>
            <w:r>
              <w:rPr>
                <w:rFonts w:hint="eastAsia" w:ascii="宋体" w:hAnsi="宋体" w:cs="宋体"/>
                <w:color w:val="000000"/>
                <w:sz w:val="24"/>
                <w:szCs w:val="24"/>
              </w:rPr>
              <w:t>供货及实施方案措施较详细、完善、合理并基本满足采购需求，得2分；</w:t>
            </w:r>
          </w:p>
          <w:p w14:paraId="23BD8CEE">
            <w:pPr>
              <w:rPr>
                <w:rFonts w:hint="eastAsia" w:ascii="宋体" w:hAnsi="宋体" w:cs="宋体"/>
                <w:color w:val="000000"/>
                <w:sz w:val="24"/>
                <w:szCs w:val="24"/>
              </w:rPr>
            </w:pPr>
            <w:r>
              <w:rPr>
                <w:rFonts w:hint="eastAsia" w:ascii="宋体" w:hAnsi="宋体" w:cs="宋体"/>
                <w:color w:val="000000"/>
                <w:sz w:val="24"/>
                <w:szCs w:val="24"/>
              </w:rPr>
              <w:t>供货及实施方案不详细、基本不满足采购需求，得1分；</w:t>
            </w:r>
          </w:p>
          <w:p w14:paraId="39D45B6E">
            <w:pPr>
              <w:rPr>
                <w:rFonts w:hint="eastAsia" w:ascii="宋体" w:hAnsi="宋体" w:cs="宋体"/>
                <w:color w:val="000000"/>
                <w:sz w:val="24"/>
                <w:szCs w:val="24"/>
              </w:rPr>
            </w:pPr>
            <w:r>
              <w:rPr>
                <w:rFonts w:hint="eastAsia" w:ascii="宋体" w:hAnsi="宋体" w:cs="宋体"/>
                <w:color w:val="000000"/>
                <w:sz w:val="24"/>
                <w:szCs w:val="24"/>
              </w:rPr>
              <w:t>供货及实施方案未提供或完全不满足采购需求，得 0 分。</w:t>
            </w:r>
          </w:p>
        </w:tc>
        <w:tc>
          <w:tcPr>
            <w:tcW w:w="525" w:type="pct"/>
            <w:tcBorders>
              <w:top w:val="single" w:color="auto" w:sz="4" w:space="0"/>
              <w:left w:val="single" w:color="auto" w:sz="4" w:space="0"/>
              <w:bottom w:val="single" w:color="auto" w:sz="4" w:space="0"/>
              <w:right w:val="single" w:color="auto" w:sz="4" w:space="0"/>
            </w:tcBorders>
            <w:vAlign w:val="center"/>
          </w:tcPr>
          <w:p w14:paraId="22C4640E">
            <w:pPr>
              <w:jc w:val="center"/>
              <w:rPr>
                <w:rFonts w:hint="eastAsia" w:ascii="宋体" w:hAnsi="宋体" w:cs="宋体"/>
                <w:kern w:val="0"/>
                <w:sz w:val="24"/>
                <w:szCs w:val="24"/>
                <w:lang w:bidi="ar"/>
              </w:rPr>
            </w:pPr>
            <w:r>
              <w:rPr>
                <w:rFonts w:hint="eastAsia" w:ascii="宋体" w:hAnsi="宋体" w:cs="宋体"/>
                <w:kern w:val="0"/>
                <w:sz w:val="24"/>
                <w:szCs w:val="24"/>
                <w:lang w:bidi="ar"/>
              </w:rPr>
              <w:t>0-4</w:t>
            </w:r>
            <w:r>
              <w:rPr>
                <w:rFonts w:hint="eastAsia" w:ascii="宋体" w:hAnsi="宋体" w:cs="宋体"/>
                <w:color w:val="000000"/>
                <w:sz w:val="24"/>
                <w:szCs w:val="24"/>
              </w:rPr>
              <w:t>分</w:t>
            </w:r>
          </w:p>
        </w:tc>
        <w:tc>
          <w:tcPr>
            <w:tcW w:w="548" w:type="pct"/>
            <w:tcBorders>
              <w:top w:val="single" w:color="auto" w:sz="4" w:space="0"/>
              <w:left w:val="single" w:color="auto" w:sz="4" w:space="0"/>
              <w:bottom w:val="single" w:color="auto" w:sz="4" w:space="0"/>
              <w:right w:val="single" w:color="auto" w:sz="8" w:space="0"/>
            </w:tcBorders>
            <w:vAlign w:val="center"/>
          </w:tcPr>
          <w:p w14:paraId="633F1F70">
            <w:pPr>
              <w:jc w:val="center"/>
              <w:rPr>
                <w:rFonts w:hint="eastAsia" w:ascii="宋体" w:hAnsi="宋体" w:cs="宋体"/>
                <w:sz w:val="24"/>
                <w:szCs w:val="24"/>
              </w:rPr>
            </w:pPr>
            <w:r>
              <w:rPr>
                <w:rFonts w:hint="eastAsia" w:ascii="宋体" w:hAnsi="宋体" w:cs="宋体"/>
                <w:sz w:val="24"/>
                <w:szCs w:val="24"/>
              </w:rPr>
              <w:t>主观分</w:t>
            </w:r>
          </w:p>
        </w:tc>
      </w:tr>
      <w:tr w14:paraId="17F68D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54" w:type="pct"/>
            <w:tcBorders>
              <w:left w:val="single" w:color="auto" w:sz="8" w:space="0"/>
              <w:right w:val="single" w:color="auto" w:sz="4" w:space="0"/>
            </w:tcBorders>
            <w:vAlign w:val="center"/>
          </w:tcPr>
          <w:p w14:paraId="02BF3995">
            <w:pPr>
              <w:jc w:val="center"/>
              <w:rPr>
                <w:rFonts w:hint="eastAsia" w:ascii="宋体" w:hAnsi="宋体" w:cs="宋体"/>
                <w:kern w:val="0"/>
                <w:sz w:val="24"/>
                <w:szCs w:val="24"/>
                <w:lang w:bidi="ar"/>
              </w:rPr>
            </w:pPr>
            <w:r>
              <w:rPr>
                <w:rFonts w:hint="eastAsia" w:ascii="宋体" w:hAnsi="宋体" w:cs="宋体"/>
                <w:kern w:val="0"/>
                <w:sz w:val="24"/>
                <w:szCs w:val="24"/>
                <w:lang w:bidi="ar"/>
              </w:rPr>
              <w:t>16</w:t>
            </w:r>
          </w:p>
        </w:tc>
        <w:tc>
          <w:tcPr>
            <w:tcW w:w="371" w:type="pct"/>
            <w:tcBorders>
              <w:left w:val="single" w:color="auto" w:sz="4" w:space="0"/>
              <w:right w:val="single" w:color="auto" w:sz="4" w:space="0"/>
            </w:tcBorders>
            <w:vAlign w:val="center"/>
          </w:tcPr>
          <w:p w14:paraId="7D10AB5E">
            <w:pPr>
              <w:jc w:val="center"/>
              <w:rPr>
                <w:rFonts w:hint="eastAsia" w:ascii="宋体" w:hAnsi="宋体" w:cs="宋体"/>
                <w:sz w:val="24"/>
                <w:szCs w:val="24"/>
              </w:rPr>
            </w:pPr>
            <w:r>
              <w:rPr>
                <w:rFonts w:hint="eastAsia" w:ascii="宋体" w:hAnsi="宋体" w:cs="宋体"/>
                <w:color w:val="000000"/>
                <w:sz w:val="24"/>
                <w:szCs w:val="24"/>
              </w:rPr>
              <w:t>商务</w:t>
            </w:r>
          </w:p>
        </w:tc>
        <w:tc>
          <w:tcPr>
            <w:tcW w:w="3302" w:type="pct"/>
            <w:tcBorders>
              <w:top w:val="single" w:color="auto" w:sz="4" w:space="0"/>
              <w:left w:val="single" w:color="auto" w:sz="4" w:space="0"/>
              <w:bottom w:val="single" w:color="auto" w:sz="4" w:space="0"/>
              <w:right w:val="single" w:color="auto" w:sz="4" w:space="0"/>
            </w:tcBorders>
            <w:vAlign w:val="center"/>
          </w:tcPr>
          <w:p w14:paraId="038B35BB">
            <w:pPr>
              <w:jc w:val="left"/>
              <w:rPr>
                <w:rFonts w:hint="eastAsia" w:ascii="宋体" w:hAnsi="宋体" w:cs="宋体"/>
                <w:sz w:val="24"/>
                <w:szCs w:val="24"/>
              </w:rPr>
            </w:pPr>
            <w:r>
              <w:rPr>
                <w:rFonts w:hint="eastAsia" w:ascii="宋体" w:hAnsi="宋体" w:cs="宋体"/>
                <w:sz w:val="24"/>
                <w:szCs w:val="24"/>
              </w:rPr>
              <w:t>投标文件中需提供所属汽车专业培训教师同时具有高级教师资格证、汽车维修二级以上（包含二级）技师证，</w:t>
            </w:r>
            <w:r>
              <w:rPr>
                <w:rFonts w:hint="eastAsia" w:ascii="宋体" w:hAnsi="宋体" w:cs="宋体"/>
                <w:b/>
                <w:bCs/>
                <w:sz w:val="24"/>
                <w:szCs w:val="24"/>
              </w:rPr>
              <w:t>提供得3分，不提供不得分。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0E9905CD">
            <w:pPr>
              <w:jc w:val="center"/>
              <w:rPr>
                <w:rFonts w:hint="eastAsia" w:ascii="宋体" w:hAnsi="宋体" w:cs="宋体"/>
                <w:color w:val="000000"/>
                <w:sz w:val="24"/>
                <w:szCs w:val="24"/>
              </w:rPr>
            </w:pPr>
            <w:r>
              <w:rPr>
                <w:rFonts w:hint="eastAsia" w:ascii="宋体" w:hAnsi="宋体" w:cs="宋体"/>
                <w:color w:val="000000"/>
                <w:sz w:val="24"/>
                <w:szCs w:val="24"/>
              </w:rPr>
              <w:t>0-3分</w:t>
            </w:r>
          </w:p>
        </w:tc>
        <w:tc>
          <w:tcPr>
            <w:tcW w:w="548" w:type="pct"/>
            <w:tcBorders>
              <w:top w:val="single" w:color="auto" w:sz="4" w:space="0"/>
              <w:left w:val="single" w:color="auto" w:sz="4" w:space="0"/>
              <w:bottom w:val="single" w:color="auto" w:sz="4" w:space="0"/>
              <w:right w:val="single" w:color="auto" w:sz="8" w:space="0"/>
            </w:tcBorders>
            <w:vAlign w:val="center"/>
          </w:tcPr>
          <w:p w14:paraId="1F804C29">
            <w:pPr>
              <w:jc w:val="center"/>
              <w:rPr>
                <w:rFonts w:hint="eastAsia" w:ascii="宋体" w:hAnsi="宋体" w:cs="宋体"/>
                <w:sz w:val="24"/>
                <w:szCs w:val="24"/>
              </w:rPr>
            </w:pPr>
            <w:r>
              <w:rPr>
                <w:rFonts w:hint="eastAsia" w:ascii="宋体" w:hAnsi="宋体" w:cs="宋体"/>
                <w:sz w:val="24"/>
                <w:szCs w:val="24"/>
              </w:rPr>
              <w:t>客观分</w:t>
            </w:r>
          </w:p>
        </w:tc>
      </w:tr>
      <w:tr w14:paraId="6C324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4" w:type="pct"/>
            <w:tcBorders>
              <w:left w:val="single" w:color="auto" w:sz="8" w:space="0"/>
              <w:right w:val="single" w:color="auto" w:sz="4" w:space="0"/>
            </w:tcBorders>
            <w:vAlign w:val="center"/>
          </w:tcPr>
          <w:p w14:paraId="68A6C678">
            <w:pPr>
              <w:jc w:val="center"/>
              <w:rPr>
                <w:rFonts w:hint="eastAsia" w:ascii="宋体" w:hAnsi="宋体" w:cs="宋体"/>
                <w:sz w:val="24"/>
                <w:szCs w:val="24"/>
              </w:rPr>
            </w:pPr>
            <w:r>
              <w:rPr>
                <w:rFonts w:hint="eastAsia" w:ascii="宋体" w:hAnsi="宋体" w:cs="宋体"/>
                <w:sz w:val="24"/>
                <w:szCs w:val="24"/>
              </w:rPr>
              <w:t>17</w:t>
            </w:r>
          </w:p>
        </w:tc>
        <w:tc>
          <w:tcPr>
            <w:tcW w:w="371" w:type="pct"/>
            <w:tcBorders>
              <w:left w:val="single" w:color="auto" w:sz="4" w:space="0"/>
              <w:right w:val="single" w:color="auto" w:sz="4" w:space="0"/>
            </w:tcBorders>
            <w:vAlign w:val="center"/>
          </w:tcPr>
          <w:p w14:paraId="6118DD82">
            <w:pPr>
              <w:jc w:val="center"/>
              <w:rPr>
                <w:rFonts w:hint="eastAsia" w:ascii="宋体" w:hAnsi="宋体" w:cs="宋体"/>
                <w:sz w:val="24"/>
                <w:szCs w:val="24"/>
              </w:rPr>
            </w:pPr>
            <w:r>
              <w:rPr>
                <w:rFonts w:hint="eastAsia" w:ascii="宋体" w:hAnsi="宋体" w:cs="宋体"/>
                <w:color w:val="000000"/>
                <w:sz w:val="24"/>
                <w:szCs w:val="24"/>
              </w:rPr>
              <w:t>技术</w:t>
            </w:r>
          </w:p>
        </w:tc>
        <w:tc>
          <w:tcPr>
            <w:tcW w:w="3302" w:type="pct"/>
            <w:tcBorders>
              <w:top w:val="single" w:color="auto" w:sz="4" w:space="0"/>
              <w:left w:val="single" w:color="auto" w:sz="4" w:space="0"/>
              <w:bottom w:val="single" w:color="auto" w:sz="4" w:space="0"/>
              <w:right w:val="single" w:color="auto" w:sz="4" w:space="0"/>
            </w:tcBorders>
            <w:vAlign w:val="center"/>
          </w:tcPr>
          <w:p w14:paraId="11F69DFE">
            <w:pPr>
              <w:jc w:val="left"/>
              <w:rPr>
                <w:rFonts w:hint="eastAsia" w:ascii="宋体" w:hAnsi="宋体" w:cs="宋体"/>
                <w:sz w:val="24"/>
                <w:szCs w:val="24"/>
              </w:rPr>
            </w:pPr>
            <w:r>
              <w:rPr>
                <w:rFonts w:hint="eastAsia" w:ascii="宋体" w:hAnsi="宋体" w:cs="宋体"/>
                <w:sz w:val="24"/>
                <w:szCs w:val="24"/>
              </w:rPr>
              <w:t>具有完善的培训方案以及具体的培训措施方案，培训服务流程、培训问题响应、应急处理等。有完整合理针对性和可行性，得3分；方案较科学合理，有较完整合理针对性和可行性，得2分；方案基本可行，满足项目需要，得1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3D17E3FA">
            <w:pPr>
              <w:jc w:val="center"/>
              <w:rPr>
                <w:rFonts w:hint="eastAsia" w:ascii="宋体" w:hAnsi="宋体" w:cs="宋体"/>
                <w:sz w:val="24"/>
                <w:szCs w:val="24"/>
              </w:rPr>
            </w:pPr>
            <w:r>
              <w:rPr>
                <w:rFonts w:hint="eastAsia" w:ascii="宋体" w:hAnsi="宋体" w:cs="宋体"/>
                <w:sz w:val="24"/>
                <w:szCs w:val="24"/>
              </w:rPr>
              <w:t>0-3分</w:t>
            </w:r>
          </w:p>
        </w:tc>
        <w:tc>
          <w:tcPr>
            <w:tcW w:w="548" w:type="pct"/>
            <w:tcBorders>
              <w:top w:val="single" w:color="auto" w:sz="4" w:space="0"/>
              <w:left w:val="single" w:color="auto" w:sz="4" w:space="0"/>
              <w:bottom w:val="single" w:color="auto" w:sz="4" w:space="0"/>
              <w:right w:val="single" w:color="auto" w:sz="8" w:space="0"/>
            </w:tcBorders>
            <w:vAlign w:val="center"/>
          </w:tcPr>
          <w:p w14:paraId="5891CB54">
            <w:pPr>
              <w:jc w:val="center"/>
              <w:rPr>
                <w:rFonts w:hint="eastAsia" w:ascii="宋体" w:hAnsi="宋体" w:cs="宋体"/>
                <w:sz w:val="24"/>
                <w:szCs w:val="24"/>
              </w:rPr>
            </w:pPr>
            <w:r>
              <w:rPr>
                <w:rFonts w:hint="eastAsia" w:ascii="宋体" w:hAnsi="宋体" w:cs="宋体"/>
                <w:sz w:val="24"/>
                <w:szCs w:val="24"/>
              </w:rPr>
              <w:t>主观分</w:t>
            </w:r>
          </w:p>
        </w:tc>
      </w:tr>
      <w:tr w14:paraId="6B475D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4" w:type="pct"/>
            <w:tcBorders>
              <w:top w:val="single" w:color="auto" w:sz="4" w:space="0"/>
              <w:left w:val="single" w:color="auto" w:sz="8" w:space="0"/>
              <w:bottom w:val="single" w:color="auto" w:sz="4" w:space="0"/>
              <w:right w:val="single" w:color="auto" w:sz="4" w:space="0"/>
            </w:tcBorders>
            <w:vAlign w:val="center"/>
          </w:tcPr>
          <w:p w14:paraId="60435A35">
            <w:pPr>
              <w:jc w:val="center"/>
              <w:rPr>
                <w:rFonts w:hint="eastAsia" w:ascii="宋体" w:hAnsi="宋体" w:cs="宋体"/>
                <w:color w:val="000000"/>
                <w:sz w:val="24"/>
                <w:szCs w:val="24"/>
              </w:rPr>
            </w:pPr>
            <w:r>
              <w:rPr>
                <w:rFonts w:hint="eastAsia" w:ascii="宋体" w:hAnsi="宋体" w:cs="宋体"/>
                <w:color w:val="000000"/>
                <w:sz w:val="24"/>
                <w:szCs w:val="24"/>
              </w:rPr>
              <w:t>18</w:t>
            </w:r>
          </w:p>
        </w:tc>
        <w:tc>
          <w:tcPr>
            <w:tcW w:w="371" w:type="pct"/>
            <w:tcBorders>
              <w:top w:val="single" w:color="auto" w:sz="4" w:space="0"/>
              <w:left w:val="single" w:color="auto" w:sz="4" w:space="0"/>
              <w:bottom w:val="single" w:color="auto" w:sz="4" w:space="0"/>
              <w:right w:val="single" w:color="auto" w:sz="4" w:space="0"/>
            </w:tcBorders>
            <w:vAlign w:val="center"/>
          </w:tcPr>
          <w:p w14:paraId="12E883FD">
            <w:pPr>
              <w:jc w:val="center"/>
              <w:rPr>
                <w:rFonts w:hint="eastAsia" w:ascii="宋体" w:hAnsi="宋体" w:cs="宋体"/>
                <w:kern w:val="0"/>
                <w:sz w:val="24"/>
                <w:szCs w:val="24"/>
              </w:rPr>
            </w:pPr>
            <w:r>
              <w:rPr>
                <w:rFonts w:hint="eastAsia" w:ascii="宋体" w:hAnsi="宋体" w:cs="宋体"/>
                <w:kern w:val="0"/>
                <w:sz w:val="24"/>
                <w:szCs w:val="24"/>
              </w:rPr>
              <w:t>商务</w:t>
            </w:r>
          </w:p>
        </w:tc>
        <w:tc>
          <w:tcPr>
            <w:tcW w:w="3302" w:type="pct"/>
            <w:tcBorders>
              <w:top w:val="single" w:color="auto" w:sz="4" w:space="0"/>
              <w:left w:val="single" w:color="auto" w:sz="4" w:space="0"/>
              <w:bottom w:val="single" w:color="auto" w:sz="4" w:space="0"/>
              <w:right w:val="single" w:color="auto" w:sz="4" w:space="0"/>
            </w:tcBorders>
            <w:vAlign w:val="center"/>
          </w:tcPr>
          <w:p w14:paraId="7D1C477D">
            <w:pPr>
              <w:rPr>
                <w:rFonts w:hint="eastAsia" w:ascii="宋体" w:hAnsi="宋体" w:cs="宋体"/>
                <w:kern w:val="0"/>
                <w:sz w:val="24"/>
                <w:szCs w:val="24"/>
              </w:rPr>
            </w:pPr>
            <w:r>
              <w:rPr>
                <w:rFonts w:hint="eastAsia" w:ascii="宋体" w:hAnsi="宋体" w:cs="宋体"/>
                <w:sz w:val="24"/>
                <w:szCs w:val="24"/>
              </w:rPr>
              <w:t>投标人近三年来(2022年至今)有类似项目业绩，每提供一项得1分（提供合同复印件或中标通知书），</w:t>
            </w:r>
            <w:r>
              <w:rPr>
                <w:rFonts w:hint="eastAsia" w:ascii="宋体" w:hAnsi="宋体" w:cs="宋体"/>
                <w:b/>
                <w:bCs/>
                <w:sz w:val="24"/>
                <w:szCs w:val="24"/>
              </w:rPr>
              <w:t>最多得2分，不提供不得分。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40EF8AA9">
            <w:pPr>
              <w:jc w:val="center"/>
              <w:rPr>
                <w:rFonts w:hint="eastAsia" w:ascii="宋体" w:hAnsi="宋体" w:cs="宋体"/>
                <w:sz w:val="24"/>
                <w:szCs w:val="24"/>
              </w:rPr>
            </w:pPr>
            <w:r>
              <w:rPr>
                <w:rFonts w:hint="eastAsia" w:ascii="宋体" w:hAnsi="宋体" w:cs="宋体"/>
                <w:sz w:val="24"/>
                <w:szCs w:val="24"/>
              </w:rPr>
              <w:t>0-2分</w:t>
            </w:r>
          </w:p>
        </w:tc>
        <w:tc>
          <w:tcPr>
            <w:tcW w:w="548" w:type="pct"/>
            <w:tcBorders>
              <w:top w:val="single" w:color="auto" w:sz="4" w:space="0"/>
              <w:left w:val="single" w:color="auto" w:sz="4" w:space="0"/>
              <w:bottom w:val="single" w:color="auto" w:sz="4" w:space="0"/>
              <w:right w:val="single" w:color="auto" w:sz="8" w:space="0"/>
            </w:tcBorders>
            <w:vAlign w:val="center"/>
          </w:tcPr>
          <w:p w14:paraId="40A73FCC">
            <w:pPr>
              <w:jc w:val="center"/>
              <w:rPr>
                <w:rFonts w:hint="eastAsia" w:ascii="宋体" w:hAnsi="宋体" w:cs="宋体"/>
                <w:sz w:val="24"/>
                <w:szCs w:val="24"/>
              </w:rPr>
            </w:pPr>
            <w:r>
              <w:rPr>
                <w:rFonts w:hint="eastAsia" w:ascii="宋体" w:hAnsi="宋体" w:cs="宋体"/>
                <w:sz w:val="24"/>
                <w:szCs w:val="24"/>
              </w:rPr>
              <w:t>客观分</w:t>
            </w:r>
          </w:p>
        </w:tc>
      </w:tr>
      <w:tr w14:paraId="2B60F1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54" w:type="pct"/>
            <w:tcBorders>
              <w:top w:val="single" w:color="auto" w:sz="4" w:space="0"/>
              <w:left w:val="single" w:color="auto" w:sz="8" w:space="0"/>
              <w:bottom w:val="single" w:color="auto" w:sz="4" w:space="0"/>
              <w:right w:val="single" w:color="auto" w:sz="4" w:space="0"/>
            </w:tcBorders>
            <w:vAlign w:val="center"/>
          </w:tcPr>
          <w:p w14:paraId="2BCBD982">
            <w:pPr>
              <w:jc w:val="center"/>
              <w:rPr>
                <w:rFonts w:hint="eastAsia" w:ascii="宋体" w:hAnsi="宋体" w:cs="宋体"/>
                <w:color w:val="000000"/>
                <w:sz w:val="24"/>
                <w:szCs w:val="24"/>
              </w:rPr>
            </w:pPr>
            <w:r>
              <w:rPr>
                <w:rFonts w:hint="eastAsia" w:ascii="宋体" w:hAnsi="宋体" w:cs="宋体"/>
                <w:color w:val="000000"/>
                <w:sz w:val="24"/>
                <w:szCs w:val="24"/>
              </w:rPr>
              <w:t>19</w:t>
            </w:r>
          </w:p>
        </w:tc>
        <w:tc>
          <w:tcPr>
            <w:tcW w:w="371" w:type="pct"/>
            <w:tcBorders>
              <w:top w:val="single" w:color="auto" w:sz="4" w:space="0"/>
              <w:left w:val="single" w:color="auto" w:sz="4" w:space="0"/>
              <w:bottom w:val="single" w:color="auto" w:sz="4" w:space="0"/>
              <w:right w:val="single" w:color="auto" w:sz="4" w:space="0"/>
            </w:tcBorders>
            <w:vAlign w:val="center"/>
          </w:tcPr>
          <w:p w14:paraId="46641E14">
            <w:pPr>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商务</w:t>
            </w:r>
          </w:p>
        </w:tc>
        <w:tc>
          <w:tcPr>
            <w:tcW w:w="3302" w:type="pct"/>
            <w:tcBorders>
              <w:top w:val="single" w:color="auto" w:sz="4" w:space="0"/>
              <w:left w:val="single" w:color="auto" w:sz="4" w:space="0"/>
              <w:bottom w:val="single" w:color="auto" w:sz="4" w:space="0"/>
              <w:right w:val="single" w:color="auto" w:sz="4" w:space="0"/>
            </w:tcBorders>
            <w:vAlign w:val="center"/>
          </w:tcPr>
          <w:p w14:paraId="25A4EC19">
            <w:pPr>
              <w:rPr>
                <w:rFonts w:hint="eastAsia" w:ascii="宋体" w:hAnsi="宋体" w:cs="宋体"/>
                <w:color w:val="auto"/>
                <w:sz w:val="24"/>
                <w:szCs w:val="24"/>
                <w:highlight w:val="none"/>
              </w:rPr>
            </w:pPr>
            <w:bookmarkStart w:id="20" w:name="OLE_LINK4"/>
            <w:r>
              <w:rPr>
                <w:rFonts w:hint="eastAsia" w:ascii="宋体" w:hAnsi="宋体" w:cs="宋体"/>
                <w:color w:val="auto"/>
                <w:sz w:val="24"/>
                <w:szCs w:val="24"/>
                <w:highlight w:val="none"/>
              </w:rPr>
              <w:t>1、实训室管理系统：投标文件中需提供计算机软件著作权登记证书复印件并加盖投标人公章。提供得1分，不提供不得分。</w:t>
            </w:r>
          </w:p>
          <w:p w14:paraId="430244D0">
            <w:pPr>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提供投标人技术人员为职业院校客座教授或</w:t>
            </w:r>
            <w:r>
              <w:rPr>
                <w:rFonts w:hint="default" w:ascii="宋体" w:hAnsi="宋体" w:cs="宋体"/>
                <w:color w:val="auto"/>
                <w:sz w:val="24"/>
                <w:szCs w:val="24"/>
                <w:highlight w:val="none"/>
                <w:lang w:val="en-US" w:eastAsia="zh-CN"/>
              </w:rPr>
              <w:t>特聘讲师</w:t>
            </w:r>
            <w:r>
              <w:rPr>
                <w:rFonts w:hint="eastAsia" w:ascii="宋体" w:hAnsi="宋体" w:cs="宋体"/>
                <w:color w:val="auto"/>
                <w:sz w:val="24"/>
                <w:szCs w:val="24"/>
                <w:highlight w:val="none"/>
              </w:rPr>
              <w:t>的得2分，不提供不得分。标书内附</w:t>
            </w:r>
            <w:r>
              <w:rPr>
                <w:rFonts w:hint="eastAsia" w:ascii="宋体" w:hAnsi="宋体" w:cs="宋体"/>
                <w:color w:val="auto"/>
                <w:sz w:val="24"/>
                <w:szCs w:val="24"/>
                <w:highlight w:val="none"/>
                <w:lang w:val="en-US" w:eastAsia="zh-CN"/>
              </w:rPr>
              <w:t>相关</w:t>
            </w:r>
            <w:r>
              <w:rPr>
                <w:rFonts w:hint="eastAsia" w:ascii="宋体" w:hAnsi="宋体" w:cs="宋体"/>
                <w:color w:val="auto"/>
                <w:sz w:val="24"/>
                <w:szCs w:val="24"/>
                <w:highlight w:val="none"/>
              </w:rPr>
              <w:t>证书（证书为加盖颁发院校公章的正式证书）或证明材料并加盖公章。</w:t>
            </w:r>
          </w:p>
          <w:bookmarkEnd w:id="20"/>
          <w:p w14:paraId="4916AF36">
            <w:pPr>
              <w:rPr>
                <w:rFonts w:hint="eastAsia" w:ascii="宋体" w:hAnsi="宋体" w:cs="宋体"/>
                <w:color w:val="auto"/>
                <w:sz w:val="24"/>
                <w:szCs w:val="24"/>
                <w:highlight w:val="none"/>
              </w:rPr>
            </w:pPr>
            <w:r>
              <w:rPr>
                <w:rFonts w:hint="eastAsia" w:ascii="宋体" w:hAnsi="宋体" w:cs="宋体"/>
                <w:color w:val="auto"/>
                <w:sz w:val="24"/>
                <w:szCs w:val="24"/>
                <w:highlight w:val="none"/>
              </w:rPr>
              <w:t>3、新能源汽车驱动控制实训系统：投标文件中需提供计算机著作权证书复印件加盖投标人公章。提供得1分，不提供不得分。</w:t>
            </w:r>
          </w:p>
          <w:p w14:paraId="3F9F91B6">
            <w:pPr>
              <w:rPr>
                <w:rFonts w:hint="eastAsia" w:ascii="宋体" w:hAnsi="宋体" w:cs="宋体"/>
                <w:color w:val="auto"/>
                <w:sz w:val="24"/>
                <w:szCs w:val="24"/>
                <w:highlight w:val="none"/>
              </w:rPr>
            </w:pPr>
            <w:r>
              <w:rPr>
                <w:rFonts w:hint="eastAsia" w:ascii="宋体" w:hAnsi="宋体" w:cs="宋体"/>
                <w:color w:val="auto"/>
                <w:sz w:val="24"/>
                <w:szCs w:val="24"/>
                <w:highlight w:val="none"/>
              </w:rPr>
              <w:t>4、混合动力汽车原理交互软件：投标文件中需提供计算机著作权证书复印件加盖投标人公章。提供得1分，不提供不得分。</w:t>
            </w:r>
          </w:p>
        </w:tc>
        <w:tc>
          <w:tcPr>
            <w:tcW w:w="525" w:type="pct"/>
            <w:tcBorders>
              <w:top w:val="single" w:color="auto" w:sz="4" w:space="0"/>
              <w:left w:val="single" w:color="auto" w:sz="4" w:space="0"/>
              <w:bottom w:val="single" w:color="auto" w:sz="4" w:space="0"/>
              <w:right w:val="single" w:color="auto" w:sz="4" w:space="0"/>
            </w:tcBorders>
            <w:vAlign w:val="center"/>
          </w:tcPr>
          <w:p w14:paraId="67A5DB31">
            <w:pPr>
              <w:jc w:val="center"/>
              <w:rPr>
                <w:rFonts w:hint="eastAsia" w:ascii="宋体" w:hAnsi="宋体" w:cs="宋体"/>
                <w:sz w:val="24"/>
                <w:szCs w:val="24"/>
              </w:rPr>
            </w:pPr>
            <w:r>
              <w:rPr>
                <w:rFonts w:hint="eastAsia" w:ascii="宋体" w:hAnsi="宋体" w:cs="宋体"/>
                <w:sz w:val="24"/>
                <w:szCs w:val="24"/>
              </w:rPr>
              <w:t>0-5分</w:t>
            </w:r>
          </w:p>
        </w:tc>
        <w:tc>
          <w:tcPr>
            <w:tcW w:w="548" w:type="pct"/>
            <w:tcBorders>
              <w:top w:val="single" w:color="auto" w:sz="4" w:space="0"/>
              <w:left w:val="single" w:color="auto" w:sz="4" w:space="0"/>
              <w:bottom w:val="single" w:color="auto" w:sz="4" w:space="0"/>
              <w:right w:val="single" w:color="auto" w:sz="8" w:space="0"/>
            </w:tcBorders>
            <w:vAlign w:val="center"/>
          </w:tcPr>
          <w:p w14:paraId="60D6CC1A">
            <w:pPr>
              <w:jc w:val="center"/>
              <w:rPr>
                <w:rFonts w:hint="eastAsia" w:ascii="宋体" w:hAnsi="宋体" w:cs="宋体"/>
                <w:sz w:val="24"/>
                <w:szCs w:val="24"/>
              </w:rPr>
            </w:pPr>
            <w:r>
              <w:rPr>
                <w:rFonts w:hint="eastAsia" w:ascii="宋体" w:hAnsi="宋体" w:cs="宋体"/>
                <w:sz w:val="24"/>
                <w:szCs w:val="24"/>
              </w:rPr>
              <w:t>客观分</w:t>
            </w:r>
          </w:p>
        </w:tc>
      </w:tr>
      <w:tr w14:paraId="035EF0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54" w:type="pct"/>
            <w:tcBorders>
              <w:top w:val="single" w:color="auto" w:sz="4" w:space="0"/>
              <w:left w:val="single" w:color="auto" w:sz="8" w:space="0"/>
              <w:right w:val="single" w:color="auto" w:sz="4" w:space="0"/>
            </w:tcBorders>
            <w:vAlign w:val="center"/>
          </w:tcPr>
          <w:p w14:paraId="411C2AE9">
            <w:pPr>
              <w:jc w:val="center"/>
              <w:rPr>
                <w:rFonts w:hint="eastAsia" w:ascii="宋体" w:hAnsi="宋体" w:cs="宋体"/>
                <w:color w:val="000000"/>
                <w:sz w:val="24"/>
                <w:szCs w:val="24"/>
              </w:rPr>
            </w:pPr>
            <w:r>
              <w:rPr>
                <w:rFonts w:hint="eastAsia" w:ascii="宋体" w:hAnsi="宋体" w:cs="宋体"/>
                <w:color w:val="000000"/>
                <w:sz w:val="24"/>
                <w:szCs w:val="24"/>
              </w:rPr>
              <w:t>20</w:t>
            </w:r>
          </w:p>
        </w:tc>
        <w:tc>
          <w:tcPr>
            <w:tcW w:w="371" w:type="pct"/>
            <w:tcBorders>
              <w:top w:val="single" w:color="auto" w:sz="4" w:space="0"/>
              <w:left w:val="single" w:color="auto" w:sz="4" w:space="0"/>
              <w:right w:val="single" w:color="auto" w:sz="4" w:space="0"/>
            </w:tcBorders>
            <w:vAlign w:val="center"/>
          </w:tcPr>
          <w:p w14:paraId="70A70DD3">
            <w:pPr>
              <w:jc w:val="center"/>
              <w:rPr>
                <w:rFonts w:hint="eastAsia" w:ascii="宋体" w:hAnsi="宋体" w:cs="宋体"/>
                <w:sz w:val="24"/>
                <w:szCs w:val="24"/>
              </w:rPr>
            </w:pPr>
            <w:r>
              <w:rPr>
                <w:rFonts w:hint="eastAsia" w:ascii="宋体" w:hAnsi="宋体" w:cs="宋体"/>
                <w:kern w:val="0"/>
                <w:sz w:val="24"/>
                <w:szCs w:val="24"/>
              </w:rPr>
              <w:t>商务</w:t>
            </w:r>
          </w:p>
        </w:tc>
        <w:tc>
          <w:tcPr>
            <w:tcW w:w="3302" w:type="pct"/>
            <w:tcBorders>
              <w:top w:val="single" w:color="auto" w:sz="4" w:space="0"/>
              <w:left w:val="single" w:color="auto" w:sz="4" w:space="0"/>
              <w:bottom w:val="single" w:color="auto" w:sz="4" w:space="0"/>
              <w:right w:val="single" w:color="auto" w:sz="4" w:space="0"/>
            </w:tcBorders>
            <w:vAlign w:val="center"/>
          </w:tcPr>
          <w:p w14:paraId="53CA480B">
            <w:pPr>
              <w:rPr>
                <w:rFonts w:hint="eastAsia" w:ascii="宋体" w:hAnsi="宋体" w:cs="宋体"/>
                <w:sz w:val="24"/>
                <w:szCs w:val="24"/>
              </w:rPr>
            </w:pPr>
            <w:r>
              <w:rPr>
                <w:rFonts w:hint="eastAsia" w:ascii="宋体" w:hAnsi="宋体" w:cs="宋体"/>
                <w:sz w:val="24"/>
                <w:szCs w:val="24"/>
                <w:lang w:val="zh-CN"/>
              </w:rPr>
              <w:t>服务人员技术水平、服务响应时间比较后，较好的得</w:t>
            </w:r>
            <w:r>
              <w:rPr>
                <w:rFonts w:hint="eastAsia" w:ascii="宋体" w:hAnsi="宋体" w:cs="宋体"/>
                <w:sz w:val="24"/>
                <w:szCs w:val="24"/>
              </w:rPr>
              <w:t>3</w:t>
            </w:r>
            <w:r>
              <w:rPr>
                <w:rFonts w:hint="eastAsia" w:ascii="宋体" w:hAnsi="宋体" w:cs="宋体"/>
                <w:sz w:val="24"/>
                <w:szCs w:val="24"/>
                <w:lang w:val="zh-CN"/>
              </w:rPr>
              <w:t>分，一般的得</w:t>
            </w:r>
            <w:r>
              <w:rPr>
                <w:rFonts w:hint="eastAsia" w:ascii="宋体" w:hAnsi="宋体" w:cs="宋体"/>
                <w:sz w:val="24"/>
                <w:szCs w:val="24"/>
              </w:rPr>
              <w:t>2</w:t>
            </w:r>
            <w:r>
              <w:rPr>
                <w:rFonts w:hint="eastAsia" w:ascii="宋体" w:hAnsi="宋体" w:cs="宋体"/>
                <w:sz w:val="24"/>
                <w:szCs w:val="24"/>
                <w:lang w:val="zh-CN"/>
              </w:rPr>
              <w:t>分，差则</w:t>
            </w:r>
            <w:r>
              <w:rPr>
                <w:rFonts w:hint="eastAsia" w:ascii="宋体" w:hAnsi="宋体" w:cs="宋体"/>
                <w:sz w:val="24"/>
                <w:szCs w:val="24"/>
              </w:rPr>
              <w:t>得1分，无不得分</w:t>
            </w:r>
            <w:r>
              <w:rPr>
                <w:rFonts w:hint="eastAsia" w:ascii="宋体" w:hAnsi="宋体" w:cs="宋体"/>
                <w:sz w:val="24"/>
                <w:szCs w:val="24"/>
                <w:lang w:val="zh-CN"/>
              </w:rPr>
              <w:t>。</w:t>
            </w:r>
          </w:p>
        </w:tc>
        <w:tc>
          <w:tcPr>
            <w:tcW w:w="525" w:type="pct"/>
            <w:tcBorders>
              <w:top w:val="single" w:color="auto" w:sz="4" w:space="0"/>
              <w:left w:val="single" w:color="auto" w:sz="4" w:space="0"/>
              <w:right w:val="single" w:color="auto" w:sz="4" w:space="0"/>
            </w:tcBorders>
            <w:vAlign w:val="center"/>
          </w:tcPr>
          <w:p w14:paraId="123AB985">
            <w:pPr>
              <w:jc w:val="center"/>
              <w:rPr>
                <w:rFonts w:hint="eastAsia" w:ascii="宋体" w:hAnsi="宋体" w:cs="宋体"/>
                <w:sz w:val="24"/>
                <w:szCs w:val="24"/>
              </w:rPr>
            </w:pPr>
            <w:r>
              <w:rPr>
                <w:rFonts w:hint="eastAsia" w:ascii="宋体" w:hAnsi="宋体" w:cs="宋体"/>
                <w:sz w:val="24"/>
                <w:szCs w:val="24"/>
              </w:rPr>
              <w:t>0-3分</w:t>
            </w:r>
          </w:p>
        </w:tc>
        <w:tc>
          <w:tcPr>
            <w:tcW w:w="548" w:type="pct"/>
            <w:tcBorders>
              <w:top w:val="single" w:color="auto" w:sz="4" w:space="0"/>
              <w:left w:val="single" w:color="auto" w:sz="4" w:space="0"/>
              <w:right w:val="single" w:color="auto" w:sz="8" w:space="0"/>
            </w:tcBorders>
            <w:vAlign w:val="center"/>
          </w:tcPr>
          <w:p w14:paraId="71EBEFE4">
            <w:pPr>
              <w:jc w:val="center"/>
              <w:rPr>
                <w:rFonts w:hint="eastAsia" w:ascii="宋体" w:hAnsi="宋体" w:cs="宋体"/>
                <w:sz w:val="24"/>
                <w:szCs w:val="24"/>
              </w:rPr>
            </w:pPr>
            <w:r>
              <w:rPr>
                <w:rFonts w:hint="eastAsia" w:ascii="宋体" w:hAnsi="宋体" w:cs="宋体"/>
                <w:sz w:val="24"/>
                <w:szCs w:val="24"/>
              </w:rPr>
              <w:t>客观分</w:t>
            </w:r>
          </w:p>
        </w:tc>
      </w:tr>
      <w:tr w14:paraId="63FAF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54" w:type="pct"/>
            <w:tcBorders>
              <w:left w:val="single" w:color="auto" w:sz="8" w:space="0"/>
              <w:bottom w:val="single" w:color="auto" w:sz="4" w:space="0"/>
              <w:right w:val="single" w:color="auto" w:sz="4" w:space="0"/>
            </w:tcBorders>
            <w:vAlign w:val="center"/>
          </w:tcPr>
          <w:p w14:paraId="6C2DA2B5">
            <w:pPr>
              <w:jc w:val="center"/>
              <w:rPr>
                <w:rFonts w:hint="eastAsia" w:ascii="宋体" w:hAnsi="宋体" w:cs="宋体"/>
                <w:color w:val="000000"/>
                <w:sz w:val="24"/>
                <w:szCs w:val="24"/>
              </w:rPr>
            </w:pPr>
            <w:r>
              <w:rPr>
                <w:rFonts w:hint="eastAsia" w:ascii="宋体" w:hAnsi="宋体" w:cs="宋体"/>
                <w:color w:val="000000"/>
                <w:sz w:val="24"/>
                <w:szCs w:val="24"/>
              </w:rPr>
              <w:t>21</w:t>
            </w:r>
          </w:p>
        </w:tc>
        <w:tc>
          <w:tcPr>
            <w:tcW w:w="371" w:type="pct"/>
            <w:tcBorders>
              <w:left w:val="single" w:color="auto" w:sz="4" w:space="0"/>
              <w:bottom w:val="single" w:color="auto" w:sz="4" w:space="0"/>
              <w:right w:val="single" w:color="auto" w:sz="4" w:space="0"/>
            </w:tcBorders>
            <w:vAlign w:val="center"/>
          </w:tcPr>
          <w:p w14:paraId="2DC7D95D">
            <w:pPr>
              <w:jc w:val="center"/>
              <w:rPr>
                <w:rFonts w:hint="eastAsia" w:ascii="宋体" w:hAnsi="宋体" w:cs="宋体"/>
                <w:sz w:val="24"/>
                <w:szCs w:val="24"/>
                <w:lang w:val="zh-CN"/>
              </w:rPr>
            </w:pPr>
            <w:r>
              <w:rPr>
                <w:rFonts w:hint="eastAsia" w:ascii="宋体" w:hAnsi="宋体" w:cs="宋体"/>
                <w:kern w:val="0"/>
                <w:sz w:val="24"/>
                <w:szCs w:val="24"/>
              </w:rPr>
              <w:t>商务</w:t>
            </w:r>
          </w:p>
        </w:tc>
        <w:tc>
          <w:tcPr>
            <w:tcW w:w="3302" w:type="pct"/>
            <w:tcBorders>
              <w:top w:val="single" w:color="auto" w:sz="4" w:space="0"/>
              <w:left w:val="single" w:color="auto" w:sz="4" w:space="0"/>
              <w:bottom w:val="single" w:color="auto" w:sz="4" w:space="0"/>
              <w:right w:val="single" w:color="auto" w:sz="4" w:space="0"/>
            </w:tcBorders>
            <w:vAlign w:val="center"/>
          </w:tcPr>
          <w:p w14:paraId="66EA95EE">
            <w:pPr>
              <w:pStyle w:val="85"/>
              <w:spacing w:before="130" w:line="244" w:lineRule="auto"/>
              <w:ind w:right="97"/>
              <w:rPr>
                <w:rFonts w:hint="eastAsia"/>
                <w:sz w:val="24"/>
                <w:szCs w:val="24"/>
                <w:lang w:eastAsia="zh-CN"/>
              </w:rPr>
            </w:pPr>
            <w:r>
              <w:rPr>
                <w:rFonts w:hint="eastAsia"/>
                <w:sz w:val="24"/>
                <w:szCs w:val="24"/>
                <w:lang w:val="zh-CN" w:eastAsia="zh-CN"/>
              </w:rPr>
              <w:t>服务承诺内容详实、全面、有针对性的得 3 分； 服务承诺内容基本合理，能满足实际的得 2 分； 服务承诺内容一般合理，相对完整的得 1 分；未提供或不合理的不得分。</w:t>
            </w:r>
          </w:p>
        </w:tc>
        <w:tc>
          <w:tcPr>
            <w:tcW w:w="525" w:type="pct"/>
            <w:tcBorders>
              <w:left w:val="single" w:color="auto" w:sz="4" w:space="0"/>
              <w:bottom w:val="single" w:color="auto" w:sz="4" w:space="0"/>
              <w:right w:val="single" w:color="auto" w:sz="4" w:space="0"/>
            </w:tcBorders>
            <w:vAlign w:val="center"/>
          </w:tcPr>
          <w:p w14:paraId="5086C0CC">
            <w:pPr>
              <w:jc w:val="center"/>
              <w:rPr>
                <w:rFonts w:hint="eastAsia" w:ascii="宋体" w:hAnsi="宋体" w:cs="宋体"/>
                <w:sz w:val="24"/>
                <w:szCs w:val="24"/>
              </w:rPr>
            </w:pPr>
            <w:r>
              <w:rPr>
                <w:rFonts w:hint="eastAsia" w:ascii="宋体" w:hAnsi="宋体" w:cs="宋体"/>
                <w:sz w:val="24"/>
                <w:szCs w:val="24"/>
              </w:rPr>
              <w:t>0-3分</w:t>
            </w:r>
          </w:p>
        </w:tc>
        <w:tc>
          <w:tcPr>
            <w:tcW w:w="548" w:type="pct"/>
            <w:tcBorders>
              <w:left w:val="single" w:color="auto" w:sz="4" w:space="0"/>
              <w:bottom w:val="single" w:color="auto" w:sz="4" w:space="0"/>
              <w:right w:val="single" w:color="auto" w:sz="8" w:space="0"/>
            </w:tcBorders>
            <w:vAlign w:val="center"/>
          </w:tcPr>
          <w:p w14:paraId="5C9F3D2E">
            <w:pPr>
              <w:jc w:val="center"/>
              <w:rPr>
                <w:rFonts w:hint="eastAsia" w:ascii="宋体" w:hAnsi="宋体" w:cs="宋体"/>
                <w:sz w:val="24"/>
                <w:szCs w:val="24"/>
              </w:rPr>
            </w:pPr>
            <w:r>
              <w:rPr>
                <w:rFonts w:hint="eastAsia" w:ascii="宋体" w:hAnsi="宋体" w:cs="宋体"/>
                <w:sz w:val="24"/>
                <w:szCs w:val="24"/>
              </w:rPr>
              <w:t>主观分</w:t>
            </w:r>
          </w:p>
        </w:tc>
      </w:tr>
      <w:tr w14:paraId="662421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54" w:type="pct"/>
            <w:tcBorders>
              <w:left w:val="single" w:color="auto" w:sz="8" w:space="0"/>
              <w:right w:val="single" w:color="auto" w:sz="4" w:space="0"/>
            </w:tcBorders>
            <w:vAlign w:val="center"/>
          </w:tcPr>
          <w:p w14:paraId="2ED09885">
            <w:pPr>
              <w:jc w:val="center"/>
              <w:rPr>
                <w:rFonts w:hint="eastAsia" w:ascii="宋体" w:hAnsi="宋体" w:cs="宋体"/>
                <w:color w:val="000000"/>
                <w:sz w:val="24"/>
                <w:szCs w:val="24"/>
              </w:rPr>
            </w:pPr>
            <w:r>
              <w:rPr>
                <w:rFonts w:hint="eastAsia" w:ascii="宋体" w:hAnsi="宋体" w:cs="宋体"/>
                <w:color w:val="000000"/>
                <w:sz w:val="24"/>
                <w:szCs w:val="24"/>
              </w:rPr>
              <w:t>22</w:t>
            </w:r>
          </w:p>
        </w:tc>
        <w:tc>
          <w:tcPr>
            <w:tcW w:w="371" w:type="pct"/>
            <w:tcBorders>
              <w:left w:val="single" w:color="auto" w:sz="4" w:space="0"/>
              <w:right w:val="single" w:color="auto" w:sz="4" w:space="0"/>
            </w:tcBorders>
            <w:vAlign w:val="center"/>
          </w:tcPr>
          <w:p w14:paraId="1377FDFC">
            <w:pPr>
              <w:jc w:val="center"/>
              <w:rPr>
                <w:rFonts w:hint="eastAsia" w:ascii="宋体" w:hAnsi="宋体" w:cs="宋体"/>
                <w:sz w:val="24"/>
                <w:szCs w:val="24"/>
                <w:lang w:val="zh-CN"/>
              </w:rPr>
            </w:pPr>
            <w:r>
              <w:rPr>
                <w:rFonts w:hint="eastAsia" w:ascii="宋体" w:hAnsi="宋体" w:cs="宋体"/>
                <w:kern w:val="0"/>
                <w:sz w:val="24"/>
                <w:szCs w:val="24"/>
              </w:rPr>
              <w:t>商务</w:t>
            </w:r>
          </w:p>
        </w:tc>
        <w:tc>
          <w:tcPr>
            <w:tcW w:w="3302" w:type="pct"/>
            <w:tcBorders>
              <w:top w:val="single" w:color="auto" w:sz="4" w:space="0"/>
              <w:left w:val="single" w:color="auto" w:sz="4" w:space="0"/>
              <w:bottom w:val="single" w:color="auto" w:sz="4" w:space="0"/>
              <w:right w:val="single" w:color="auto" w:sz="4" w:space="0"/>
            </w:tcBorders>
            <w:vAlign w:val="center"/>
          </w:tcPr>
          <w:p w14:paraId="7D5773F3">
            <w:pPr>
              <w:rPr>
                <w:rFonts w:hint="eastAsia" w:ascii="宋体" w:hAnsi="宋体" w:cs="宋体"/>
                <w:color w:val="FF0000"/>
                <w:sz w:val="24"/>
                <w:szCs w:val="24"/>
                <w:lang w:val="zh-CN"/>
              </w:rPr>
            </w:pPr>
            <w:r>
              <w:rPr>
                <w:rFonts w:hint="eastAsia" w:ascii="宋体" w:hAnsi="宋体" w:cs="宋体"/>
                <w:sz w:val="24"/>
                <w:szCs w:val="24"/>
              </w:rPr>
              <w:t>为保证供货及产品质量，纯电动汽车检测实训一体化智能教学平台须获得相应知识产权，投标人需提供由国家知识产权局出具的相关证明文件。能提供得3分，不提供不得分。</w:t>
            </w:r>
          </w:p>
        </w:tc>
        <w:tc>
          <w:tcPr>
            <w:tcW w:w="525" w:type="pct"/>
            <w:tcBorders>
              <w:left w:val="single" w:color="auto" w:sz="4" w:space="0"/>
              <w:right w:val="single" w:color="auto" w:sz="4" w:space="0"/>
            </w:tcBorders>
            <w:vAlign w:val="center"/>
          </w:tcPr>
          <w:p w14:paraId="1F083574">
            <w:pPr>
              <w:jc w:val="center"/>
              <w:rPr>
                <w:rFonts w:hint="eastAsia" w:ascii="宋体" w:hAnsi="宋体" w:cs="宋体"/>
                <w:sz w:val="24"/>
                <w:szCs w:val="24"/>
              </w:rPr>
            </w:pPr>
            <w:r>
              <w:rPr>
                <w:rFonts w:hint="eastAsia" w:ascii="宋体" w:hAnsi="宋体" w:cs="宋体"/>
                <w:sz w:val="24"/>
                <w:szCs w:val="24"/>
              </w:rPr>
              <w:t>0-3分</w:t>
            </w:r>
          </w:p>
        </w:tc>
        <w:tc>
          <w:tcPr>
            <w:tcW w:w="548" w:type="pct"/>
            <w:tcBorders>
              <w:left w:val="single" w:color="auto" w:sz="4" w:space="0"/>
              <w:right w:val="single" w:color="auto" w:sz="8" w:space="0"/>
            </w:tcBorders>
            <w:vAlign w:val="center"/>
          </w:tcPr>
          <w:p w14:paraId="18F76681">
            <w:pPr>
              <w:jc w:val="center"/>
              <w:rPr>
                <w:rFonts w:hint="eastAsia" w:ascii="宋体" w:hAnsi="宋体" w:cs="宋体"/>
                <w:sz w:val="24"/>
                <w:szCs w:val="24"/>
              </w:rPr>
            </w:pPr>
            <w:r>
              <w:rPr>
                <w:rFonts w:hint="eastAsia" w:ascii="宋体" w:hAnsi="宋体" w:cs="宋体"/>
                <w:sz w:val="24"/>
                <w:szCs w:val="24"/>
              </w:rPr>
              <w:t>客观分</w:t>
            </w:r>
          </w:p>
        </w:tc>
      </w:tr>
      <w:tr w14:paraId="1619C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5000" w:type="pct"/>
            <w:gridSpan w:val="5"/>
            <w:tcBorders>
              <w:left w:val="single" w:color="auto" w:sz="8" w:space="0"/>
              <w:bottom w:val="single" w:color="auto" w:sz="4" w:space="0"/>
              <w:right w:val="single" w:color="auto" w:sz="8" w:space="0"/>
            </w:tcBorders>
            <w:vAlign w:val="center"/>
          </w:tcPr>
          <w:p w14:paraId="132BE5C1">
            <w:pPr>
              <w:jc w:val="center"/>
              <w:rPr>
                <w:rFonts w:hint="eastAsia" w:ascii="宋体" w:hAnsi="宋体" w:cs="宋体"/>
                <w:sz w:val="24"/>
                <w:szCs w:val="24"/>
              </w:rPr>
            </w:pPr>
            <w:r>
              <w:rPr>
                <w:rFonts w:hint="eastAsia" w:ascii="宋体" w:hAnsi="宋体" w:cs="宋体"/>
                <w:sz w:val="24"/>
                <w:szCs w:val="24"/>
              </w:rPr>
              <w:t>合计（100分）</w:t>
            </w:r>
          </w:p>
        </w:tc>
      </w:tr>
    </w:tbl>
    <w:p w14:paraId="760DF1EA">
      <w:pPr>
        <w:spacing w:line="360" w:lineRule="auto"/>
        <w:ind w:firstLine="241" w:firstLineChars="100"/>
        <w:rPr>
          <w:rFonts w:hint="eastAsia" w:ascii="宋体" w:hAnsi="宋体" w:cs="宋体"/>
          <w:b/>
          <w:bCs/>
          <w:sz w:val="24"/>
          <w:szCs w:val="24"/>
        </w:rPr>
      </w:pPr>
      <w:r>
        <w:rPr>
          <w:rFonts w:hint="eastAsia" w:ascii="宋体" w:hAnsi="宋体" w:cs="宋体"/>
          <w:b/>
          <w:bCs/>
          <w:sz w:val="24"/>
          <w:szCs w:val="24"/>
        </w:rPr>
        <w:t>4、推荐中标候选人</w:t>
      </w:r>
    </w:p>
    <w:p w14:paraId="10069572">
      <w:pPr>
        <w:spacing w:line="360" w:lineRule="auto"/>
        <w:ind w:firstLine="480" w:firstLineChars="200"/>
        <w:rPr>
          <w:rFonts w:hint="eastAsia" w:ascii="宋体" w:hAnsi="宋体" w:cs="宋体"/>
          <w:sz w:val="24"/>
          <w:szCs w:val="24"/>
        </w:rPr>
      </w:pPr>
      <w:r>
        <w:rPr>
          <w:rFonts w:hint="eastAsia" w:ascii="宋体" w:hAnsi="宋体" w:cs="宋体"/>
          <w:sz w:val="24"/>
          <w:szCs w:val="24"/>
          <w:lang w:val="zh-CN"/>
        </w:rPr>
        <w:t>本次评标采用综合评分法。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79FFE91">
      <w:pPr>
        <w:spacing w:line="360" w:lineRule="auto"/>
        <w:ind w:firstLine="241" w:firstLineChars="100"/>
        <w:rPr>
          <w:rFonts w:hint="eastAsia" w:ascii="宋体" w:hAnsi="宋体" w:cs="宋体"/>
          <w:b/>
          <w:bCs/>
          <w:sz w:val="24"/>
          <w:szCs w:val="24"/>
        </w:rPr>
      </w:pPr>
      <w:bookmarkStart w:id="21" w:name="_Toc359494609"/>
      <w:r>
        <w:rPr>
          <w:rFonts w:hint="eastAsia" w:ascii="宋体" w:hAnsi="宋体" w:cs="宋体"/>
          <w:b/>
          <w:bCs/>
          <w:sz w:val="24"/>
          <w:szCs w:val="24"/>
        </w:rPr>
        <w:t>5、</w:t>
      </w:r>
      <w:r>
        <w:rPr>
          <w:rFonts w:hint="eastAsia" w:ascii="宋体" w:hAnsi="宋体" w:cs="宋体"/>
          <w:b/>
          <w:bCs/>
          <w:sz w:val="24"/>
          <w:szCs w:val="24"/>
          <w:lang w:val="zh-CN"/>
        </w:rPr>
        <w:t>落实政府采购政策</w:t>
      </w:r>
      <w:r>
        <w:rPr>
          <w:rFonts w:hint="eastAsia" w:ascii="宋体" w:hAnsi="宋体" w:cs="宋体"/>
          <w:b/>
          <w:bCs/>
          <w:sz w:val="24"/>
          <w:szCs w:val="24"/>
        </w:rPr>
        <w:t>价格扣除（本项目不适用）</w:t>
      </w:r>
    </w:p>
    <w:p w14:paraId="7FF5FDCD">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rPr>
        <w:t>5.1</w:t>
      </w:r>
      <w:r>
        <w:rPr>
          <w:rFonts w:hint="eastAsia" w:ascii="宋体" w:hAnsi="宋体" w:cs="宋体"/>
          <w:color w:val="000000"/>
          <w:sz w:val="24"/>
          <w:szCs w:val="24"/>
          <w:lang w:val="zh-CN"/>
        </w:rPr>
        <w:t>小型和微型企业价格扣除：</w:t>
      </w:r>
    </w:p>
    <w:p w14:paraId="1B16AEB7">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lang w:val="zh-CN"/>
        </w:rPr>
        <w:t>根据《政府采购促进中小企业发展管理办法》(财库[2020]46号)、</w:t>
      </w:r>
      <w:r>
        <w:rPr>
          <w:rFonts w:hint="eastAsia" w:ascii="宋体" w:hAnsi="宋体" w:cs="宋体"/>
          <w:sz w:val="24"/>
          <w:szCs w:val="24"/>
        </w:rPr>
        <w:t>《财政部关于进一步加大政府采购支持中小企业力度的通知》（财库[2022]19号）</w:t>
      </w:r>
      <w:r>
        <w:rPr>
          <w:rFonts w:hint="eastAsia" w:ascii="宋体" w:hAnsi="宋体" w:cs="宋体"/>
          <w:color w:val="000000"/>
          <w:sz w:val="24"/>
          <w:szCs w:val="24"/>
          <w:lang w:val="zh-CN"/>
        </w:rPr>
        <w:t>，对符合本办法规定的小微企业，评标时应当给予</w:t>
      </w:r>
      <w:r>
        <w:rPr>
          <w:rFonts w:hint="eastAsia" w:ascii="宋体" w:hAnsi="宋体" w:cs="宋体"/>
          <w:color w:val="000000"/>
          <w:sz w:val="24"/>
          <w:szCs w:val="24"/>
        </w:rPr>
        <w:t>10</w:t>
      </w:r>
      <w:r>
        <w:rPr>
          <w:rFonts w:hint="eastAsia" w:ascii="宋体" w:hAnsi="宋体" w:cs="宋体"/>
          <w:color w:val="000000"/>
          <w:sz w:val="24"/>
          <w:szCs w:val="24"/>
          <w:lang w:val="zh-CN"/>
        </w:rPr>
        <w:t>%的价格扣除，用扣除后的价格参与评审。小型、微型企业应当提供《中小企业声明函》</w:t>
      </w:r>
    </w:p>
    <w:p w14:paraId="50396517">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rPr>
        <w:t>5.2</w:t>
      </w:r>
      <w:r>
        <w:rPr>
          <w:rFonts w:hint="eastAsia" w:ascii="宋体" w:hAnsi="宋体" w:cs="宋体"/>
          <w:color w:val="000000"/>
          <w:sz w:val="24"/>
          <w:szCs w:val="24"/>
          <w:lang w:val="zh-CN"/>
        </w:rPr>
        <w:t>监狱企业价格扣除：</w:t>
      </w:r>
    </w:p>
    <w:p w14:paraId="44E80F8D">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lang w:val="zh-CN"/>
        </w:rPr>
        <w:t>根据《关于政府采购支持监狱企业发展有关问题的通知》(财库[2014]68号)，在政府采购活动中，监狱企业视同小型、微型企业，监狱企业投标的提供由省级以上监狱管理局、戒毒管理局(含新疆生产建设兵团)出具的属于监狱企业的证明文件，不再提供《中小微企业声明函》</w:t>
      </w:r>
    </w:p>
    <w:p w14:paraId="15A97927">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rPr>
        <w:t>5.3</w:t>
      </w:r>
      <w:r>
        <w:rPr>
          <w:rFonts w:hint="eastAsia" w:ascii="宋体" w:hAnsi="宋体" w:cs="宋体"/>
          <w:color w:val="000000"/>
          <w:sz w:val="24"/>
          <w:szCs w:val="24"/>
          <w:lang w:val="zh-CN"/>
        </w:rPr>
        <w:t>残疾人福利性单位价格扣除：</w:t>
      </w:r>
    </w:p>
    <w:p w14:paraId="21999A59">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lang w:val="zh-CN"/>
        </w:rPr>
        <w:t>根据《关于促进残疾人就业政府采购政策的通知》(财库[2017]141号)，在政府采购活动中，残疾人福利性单位视同小型、微型企业，符合条件的残疾人福利性单位应当提供《残疾人福利性单位声明函》，并对声明的真实性负责。任何单位或者个人在政府采购活动中均不得要求残疾人福利性单位提供其他证明声明函内容的材料。残疾人福利性单位属于小型、微型企业的，不重复享受政策。</w:t>
      </w:r>
    </w:p>
    <w:p w14:paraId="1CC2FF42">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rPr>
        <w:t>5.1</w:t>
      </w:r>
      <w:r>
        <w:rPr>
          <w:rFonts w:hint="eastAsia" w:ascii="宋体" w:hAnsi="宋体" w:cs="宋体"/>
          <w:color w:val="000000"/>
          <w:sz w:val="24"/>
          <w:szCs w:val="24"/>
          <w:lang w:val="zh-CN"/>
        </w:rPr>
        <w:t>、</w:t>
      </w:r>
      <w:r>
        <w:rPr>
          <w:rFonts w:hint="eastAsia" w:ascii="宋体" w:hAnsi="宋体" w:cs="宋体"/>
          <w:color w:val="000000"/>
          <w:sz w:val="24"/>
          <w:szCs w:val="24"/>
        </w:rPr>
        <w:t>5.2</w:t>
      </w:r>
      <w:r>
        <w:rPr>
          <w:rFonts w:hint="eastAsia" w:ascii="宋体" w:hAnsi="宋体" w:cs="宋体"/>
          <w:color w:val="000000"/>
          <w:sz w:val="24"/>
          <w:szCs w:val="24"/>
          <w:lang w:val="zh-CN"/>
        </w:rPr>
        <w:t>、</w:t>
      </w:r>
      <w:r>
        <w:rPr>
          <w:rFonts w:hint="eastAsia" w:ascii="宋体" w:hAnsi="宋体" w:cs="宋体"/>
          <w:color w:val="000000"/>
          <w:sz w:val="24"/>
          <w:szCs w:val="24"/>
        </w:rPr>
        <w:t>5.3</w:t>
      </w:r>
      <w:r>
        <w:rPr>
          <w:rFonts w:hint="eastAsia" w:ascii="宋体" w:hAnsi="宋体" w:cs="宋体"/>
          <w:color w:val="000000"/>
          <w:sz w:val="24"/>
          <w:szCs w:val="24"/>
          <w:lang w:val="zh-CN"/>
        </w:rPr>
        <w:t>条款不得同时适用。</w:t>
      </w:r>
    </w:p>
    <w:p w14:paraId="7FC73FEB">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rPr>
        <w:t>5.4</w:t>
      </w:r>
      <w:r>
        <w:rPr>
          <w:rFonts w:hint="eastAsia" w:ascii="宋体" w:hAnsi="宋体" w:cs="宋体"/>
          <w:color w:val="000000"/>
          <w:sz w:val="24"/>
          <w:szCs w:val="24"/>
          <w:lang w:val="zh-CN"/>
        </w:rPr>
        <w:t>节能产品价格扣除：</w:t>
      </w:r>
    </w:p>
    <w:p w14:paraId="19EC1C60">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lang w:val="zh-CN"/>
        </w:rPr>
        <w:t>（1）对于列入财政部、发展改革委发布的《节能产品政府采购品目清单》但不属于国家强制采购的产品，对其响应价格给予3%的价格扣除，并按照扣除后的价格参加排序。采购项目或者分包中既包含节能产品也包含非节能产品的，只对列入《节能产品政府采购品目清单》但不属于国家强制采购的产品按其在总报价中所占的比例给予价格扣除。</w:t>
      </w:r>
    </w:p>
    <w:p w14:paraId="1209480C">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lang w:val="zh-CN"/>
        </w:rPr>
        <w:t>（2）价格扣除的依据：响应文件中需提供国家确定的认证机构出具的、处于有效期之内的节能产品认证证书，《节能产品政府采购品目清单》请登录中国政府采购网</w:t>
      </w:r>
      <w:r>
        <w:fldChar w:fldCharType="begin"/>
      </w:r>
      <w:r>
        <w:instrText xml:space="preserve">HYPERLINK "http://www.ccgp.gov.cn"</w:instrText>
      </w:r>
      <w:r>
        <w:fldChar w:fldCharType="separate"/>
      </w:r>
      <w:r>
        <w:rPr>
          <w:rFonts w:hint="eastAsia" w:ascii="宋体" w:hAnsi="宋体" w:cs="宋体"/>
          <w:color w:val="000000"/>
          <w:sz w:val="24"/>
          <w:szCs w:val="24"/>
          <w:lang w:val="zh-CN"/>
        </w:rPr>
        <w:t>http://www.ccgp.gov.cn</w:t>
      </w:r>
      <w:r>
        <w:fldChar w:fldCharType="end"/>
      </w:r>
      <w:r>
        <w:rPr>
          <w:rFonts w:hint="eastAsia" w:ascii="宋体" w:hAnsi="宋体" w:cs="宋体"/>
          <w:color w:val="000000"/>
          <w:sz w:val="24"/>
          <w:szCs w:val="24"/>
          <w:lang w:val="zh-CN"/>
        </w:rPr>
        <w:t>查询。</w:t>
      </w:r>
    </w:p>
    <w:p w14:paraId="091DBE8B">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rPr>
        <w:t xml:space="preserve">  5.5</w:t>
      </w:r>
      <w:r>
        <w:rPr>
          <w:rFonts w:hint="eastAsia" w:ascii="宋体" w:hAnsi="宋体" w:cs="宋体"/>
          <w:color w:val="000000"/>
          <w:sz w:val="24"/>
          <w:szCs w:val="24"/>
          <w:lang w:val="zh-CN"/>
        </w:rPr>
        <w:t>环境标志产品价格扣除：</w:t>
      </w:r>
    </w:p>
    <w:p w14:paraId="5523873A">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lang w:val="zh-CN"/>
        </w:rPr>
        <w:t>（1）对于列入财政部、生态环境部发布的《环境标志产品政府采购品目清单》的产品，对其响应价格给予3%的价格扣除，并按照扣除后的价格参加排序。采购项目或者分包中既包含环境标志产品也包含非环境标志产品的，只对列入《环境标志产品政府采购品目清单》的产品按其在总报价中所占的比例给予价格扣除。</w:t>
      </w:r>
    </w:p>
    <w:p w14:paraId="4F07A6C5">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lang w:val="zh-CN"/>
        </w:rPr>
        <w:t>（2）价格扣除的依据：响应文件中需提供国家确定的认证机构出具的、处于有效期之内的环境标志产品认证证书，《环境标志产品政府采购品目清单》请登录中国政府采购网</w:t>
      </w:r>
      <w:r>
        <w:fldChar w:fldCharType="begin"/>
      </w:r>
      <w:r>
        <w:instrText xml:space="preserve">HYPERLINK "http://www.ccgp.gov.cn"</w:instrText>
      </w:r>
      <w:r>
        <w:fldChar w:fldCharType="separate"/>
      </w:r>
      <w:r>
        <w:rPr>
          <w:rFonts w:hint="eastAsia" w:ascii="宋体" w:hAnsi="宋体" w:cs="宋体"/>
          <w:color w:val="000000"/>
          <w:sz w:val="24"/>
          <w:szCs w:val="24"/>
          <w:lang w:val="zh-CN"/>
        </w:rPr>
        <w:t>http://www.ccgp.gov.cn</w:t>
      </w:r>
      <w:r>
        <w:fldChar w:fldCharType="end"/>
      </w:r>
      <w:r>
        <w:rPr>
          <w:rFonts w:hint="eastAsia" w:ascii="宋体" w:hAnsi="宋体" w:cs="宋体"/>
          <w:color w:val="000000"/>
          <w:sz w:val="24"/>
          <w:szCs w:val="24"/>
          <w:lang w:val="zh-CN"/>
        </w:rPr>
        <w:t>查询。</w:t>
      </w:r>
    </w:p>
    <w:p w14:paraId="7395A037">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rPr>
        <w:t>5.6</w:t>
      </w:r>
      <w:r>
        <w:rPr>
          <w:rFonts w:hint="eastAsia" w:ascii="宋体" w:hAnsi="宋体" w:cs="宋体"/>
          <w:color w:val="000000"/>
          <w:sz w:val="24"/>
          <w:szCs w:val="24"/>
          <w:lang w:val="zh-CN"/>
        </w:rPr>
        <w:t>投标产品同时列入上述</w:t>
      </w:r>
      <w:r>
        <w:rPr>
          <w:rFonts w:hint="eastAsia" w:ascii="宋体" w:hAnsi="宋体" w:cs="宋体"/>
          <w:color w:val="000000"/>
          <w:sz w:val="24"/>
          <w:szCs w:val="24"/>
        </w:rPr>
        <w:t>5.4、5.5</w:t>
      </w:r>
      <w:r>
        <w:rPr>
          <w:rFonts w:hint="eastAsia" w:ascii="宋体" w:hAnsi="宋体" w:cs="宋体"/>
          <w:color w:val="000000"/>
          <w:sz w:val="24"/>
          <w:szCs w:val="24"/>
          <w:lang w:val="zh-CN"/>
        </w:rPr>
        <w:t>清单的，将上述规定的价格扣除比例叠加后计算价格扣除。</w:t>
      </w:r>
    </w:p>
    <w:p w14:paraId="4E305737">
      <w:pPr>
        <w:autoSpaceDE w:val="0"/>
        <w:autoSpaceDN w:val="0"/>
        <w:adjustRightInd w:val="0"/>
        <w:spacing w:line="360" w:lineRule="auto"/>
        <w:ind w:firstLine="240" w:firstLineChars="100"/>
        <w:jc w:val="left"/>
        <w:rPr>
          <w:rFonts w:hint="eastAsia" w:ascii="宋体" w:hAnsi="宋体" w:cs="宋体"/>
          <w:color w:val="000000"/>
          <w:sz w:val="24"/>
          <w:szCs w:val="24"/>
          <w:lang w:val="zh-CN"/>
        </w:rPr>
      </w:pPr>
      <w:r>
        <w:rPr>
          <w:rFonts w:hint="eastAsia" w:ascii="宋体" w:hAnsi="宋体" w:cs="宋体"/>
          <w:color w:val="000000"/>
          <w:sz w:val="24"/>
          <w:szCs w:val="24"/>
        </w:rPr>
        <w:t>5.7</w:t>
      </w:r>
      <w:r>
        <w:rPr>
          <w:rFonts w:hint="eastAsia" w:ascii="宋体" w:hAnsi="宋体" w:cs="宋体"/>
          <w:color w:val="000000"/>
          <w:sz w:val="24"/>
          <w:szCs w:val="24"/>
          <w:lang w:val="zh-CN"/>
        </w:rPr>
        <w:t>评审小组将按上述原则调整投标报价，调整后的报价为评标价。</w:t>
      </w:r>
    </w:p>
    <w:p w14:paraId="2F8EAEED">
      <w:pPr>
        <w:autoSpaceDE w:val="0"/>
        <w:autoSpaceDN w:val="0"/>
        <w:adjustRightInd w:val="0"/>
        <w:spacing w:line="360" w:lineRule="auto"/>
        <w:ind w:firstLine="240" w:firstLineChars="100"/>
        <w:jc w:val="left"/>
        <w:rPr>
          <w:rFonts w:hint="eastAsia" w:ascii="宋体" w:hAnsi="宋体" w:cs="宋体"/>
          <w:bCs/>
          <w:color w:val="000000"/>
          <w:sz w:val="24"/>
          <w:szCs w:val="24"/>
          <w:lang w:val="zh-CN"/>
        </w:rPr>
      </w:pPr>
      <w:r>
        <w:rPr>
          <w:rFonts w:hint="eastAsia" w:ascii="宋体" w:hAnsi="宋体" w:cs="宋体"/>
          <w:bCs/>
          <w:color w:val="000000"/>
          <w:sz w:val="24"/>
          <w:szCs w:val="24"/>
        </w:rPr>
        <w:t>5.8</w:t>
      </w:r>
      <w:r>
        <w:rPr>
          <w:rFonts w:hint="eastAsia" w:ascii="宋体" w:hAnsi="宋体" w:cs="宋体"/>
          <w:bCs/>
          <w:color w:val="000000"/>
          <w:sz w:val="24"/>
          <w:szCs w:val="24"/>
          <w:lang w:val="zh-CN"/>
        </w:rPr>
        <w:t>评标委员会按</w:t>
      </w:r>
      <w:r>
        <w:rPr>
          <w:rFonts w:hint="eastAsia" w:ascii="宋体" w:hAnsi="宋体" w:cs="宋体"/>
          <w:bCs/>
          <w:color w:val="000000"/>
          <w:sz w:val="24"/>
          <w:szCs w:val="24"/>
        </w:rPr>
        <w:t>综合评分法</w:t>
      </w:r>
      <w:r>
        <w:rPr>
          <w:rFonts w:hint="eastAsia" w:ascii="宋体" w:hAnsi="宋体" w:cs="宋体"/>
          <w:bCs/>
          <w:color w:val="000000"/>
          <w:sz w:val="24"/>
          <w:szCs w:val="24"/>
          <w:lang w:val="zh-CN"/>
        </w:rPr>
        <w:t>的量化因素和分值进行打分，并计算出综合评估得分。</w:t>
      </w:r>
    </w:p>
    <w:p w14:paraId="0FD97AB0">
      <w:pPr>
        <w:autoSpaceDE w:val="0"/>
        <w:autoSpaceDN w:val="0"/>
        <w:adjustRightInd w:val="0"/>
        <w:spacing w:line="360" w:lineRule="auto"/>
        <w:ind w:firstLine="241" w:firstLineChars="100"/>
        <w:jc w:val="left"/>
        <w:rPr>
          <w:rFonts w:hint="eastAsia" w:ascii="宋体" w:hAnsi="宋体" w:cs="宋体"/>
          <w:b/>
          <w:bCs/>
          <w:color w:val="000000"/>
          <w:sz w:val="24"/>
          <w:szCs w:val="24"/>
          <w:lang w:val="zh-CN"/>
        </w:rPr>
      </w:pPr>
      <w:r>
        <w:rPr>
          <w:rFonts w:hint="eastAsia" w:ascii="宋体" w:hAnsi="宋体" w:cs="宋体"/>
          <w:b/>
          <w:bCs/>
          <w:color w:val="000000"/>
          <w:sz w:val="24"/>
          <w:szCs w:val="24"/>
        </w:rPr>
        <w:t>6、</w:t>
      </w:r>
      <w:r>
        <w:rPr>
          <w:rFonts w:hint="eastAsia" w:ascii="宋体" w:hAnsi="宋体" w:cs="宋体"/>
          <w:b/>
          <w:bCs/>
          <w:color w:val="000000"/>
          <w:sz w:val="24"/>
          <w:szCs w:val="24"/>
          <w:lang w:val="zh-CN"/>
        </w:rPr>
        <w:t>评标结果</w:t>
      </w:r>
    </w:p>
    <w:p w14:paraId="25447B72">
      <w:pPr>
        <w:autoSpaceDE w:val="0"/>
        <w:autoSpaceDN w:val="0"/>
        <w:adjustRightInd w:val="0"/>
        <w:spacing w:line="360" w:lineRule="auto"/>
        <w:ind w:firstLine="240" w:firstLineChars="100"/>
        <w:jc w:val="left"/>
        <w:rPr>
          <w:rFonts w:hint="eastAsia" w:ascii="宋体" w:hAnsi="宋体" w:cs="宋体"/>
          <w:bCs/>
          <w:color w:val="000000"/>
          <w:sz w:val="24"/>
          <w:szCs w:val="24"/>
          <w:lang w:val="zh-CN"/>
        </w:rPr>
      </w:pPr>
      <w:r>
        <w:rPr>
          <w:rFonts w:hint="eastAsia" w:ascii="宋体" w:hAnsi="宋体" w:cs="宋体"/>
          <w:bCs/>
          <w:color w:val="000000"/>
          <w:sz w:val="24"/>
          <w:szCs w:val="24"/>
        </w:rPr>
        <w:t>6.1</w:t>
      </w:r>
      <w:r>
        <w:rPr>
          <w:rFonts w:hint="eastAsia" w:ascii="宋体" w:hAnsi="宋体" w:cs="宋体"/>
          <w:bCs/>
          <w:color w:val="000000"/>
          <w:sz w:val="24"/>
          <w:szCs w:val="24"/>
          <w:lang w:val="zh-CN"/>
        </w:rPr>
        <w:t xml:space="preserve"> 除第二章“投标人须知”前附表授权直接确定中标人外，评标委员会按照得分由高到低的顺序推荐中标候选人。</w:t>
      </w:r>
    </w:p>
    <w:p w14:paraId="4F407F28">
      <w:pPr>
        <w:autoSpaceDE w:val="0"/>
        <w:autoSpaceDN w:val="0"/>
        <w:adjustRightInd w:val="0"/>
        <w:spacing w:line="360" w:lineRule="auto"/>
        <w:ind w:firstLine="240" w:firstLineChars="100"/>
        <w:jc w:val="left"/>
        <w:rPr>
          <w:rFonts w:hint="eastAsia" w:ascii="宋体" w:hAnsi="宋体" w:cs="宋体"/>
          <w:bCs/>
          <w:color w:val="000000"/>
          <w:sz w:val="24"/>
          <w:szCs w:val="24"/>
          <w:lang w:val="zh-CN"/>
        </w:rPr>
      </w:pPr>
      <w:r>
        <w:rPr>
          <w:rFonts w:hint="eastAsia" w:ascii="宋体" w:hAnsi="宋体" w:cs="宋体"/>
          <w:bCs/>
          <w:color w:val="000000"/>
          <w:sz w:val="24"/>
          <w:szCs w:val="24"/>
        </w:rPr>
        <w:t>6.2</w:t>
      </w:r>
      <w:r>
        <w:rPr>
          <w:rFonts w:hint="eastAsia" w:ascii="宋体" w:hAnsi="宋体" w:cs="宋体"/>
          <w:bCs/>
          <w:color w:val="000000"/>
          <w:sz w:val="24"/>
          <w:szCs w:val="24"/>
          <w:lang w:val="zh-CN"/>
        </w:rPr>
        <w:t xml:space="preserve"> 评标委员会完成评标后，应当向购人提交书面评标报告。</w:t>
      </w:r>
    </w:p>
    <w:bookmarkEnd w:id="21"/>
    <w:p w14:paraId="785B0AF4">
      <w:pPr>
        <w:rPr>
          <w:sz w:val="32"/>
          <w:szCs w:val="32"/>
          <w:lang w:val="zh-CN"/>
        </w:rPr>
      </w:pPr>
      <w:bookmarkStart w:id="22" w:name="_Toc359494610"/>
      <w:bookmarkStart w:id="23" w:name="_Toc26696"/>
    </w:p>
    <w:p w14:paraId="57C02248">
      <w:pPr>
        <w:rPr>
          <w:sz w:val="32"/>
          <w:szCs w:val="32"/>
          <w:lang w:val="zh-CN"/>
        </w:rPr>
      </w:pPr>
    </w:p>
    <w:p w14:paraId="00F016E0">
      <w:pPr>
        <w:rPr>
          <w:sz w:val="32"/>
          <w:szCs w:val="32"/>
          <w:lang w:val="zh-CN"/>
        </w:rPr>
      </w:pPr>
    </w:p>
    <w:p w14:paraId="15AA4660">
      <w:pPr>
        <w:rPr>
          <w:sz w:val="32"/>
          <w:szCs w:val="32"/>
          <w:lang w:val="zh-CN"/>
        </w:rPr>
      </w:pPr>
    </w:p>
    <w:p w14:paraId="405A90CA">
      <w:pPr>
        <w:rPr>
          <w:sz w:val="32"/>
          <w:szCs w:val="32"/>
          <w:lang w:val="zh-CN"/>
        </w:rPr>
      </w:pPr>
    </w:p>
    <w:p w14:paraId="6D717866">
      <w:pPr>
        <w:rPr>
          <w:sz w:val="32"/>
          <w:szCs w:val="32"/>
          <w:lang w:val="zh-CN"/>
        </w:rPr>
      </w:pPr>
    </w:p>
    <w:p w14:paraId="3524CF80">
      <w:pPr>
        <w:rPr>
          <w:sz w:val="32"/>
          <w:szCs w:val="32"/>
          <w:lang w:val="zh-CN"/>
        </w:rPr>
      </w:pPr>
    </w:p>
    <w:p w14:paraId="60393172">
      <w:pPr>
        <w:rPr>
          <w:sz w:val="32"/>
          <w:szCs w:val="32"/>
          <w:lang w:val="zh-CN"/>
        </w:rPr>
      </w:pPr>
    </w:p>
    <w:p w14:paraId="0D2ADB5A">
      <w:pPr>
        <w:rPr>
          <w:sz w:val="32"/>
          <w:szCs w:val="32"/>
          <w:lang w:val="zh-CN"/>
        </w:rPr>
      </w:pPr>
    </w:p>
    <w:p w14:paraId="402DC59D">
      <w:pPr>
        <w:pStyle w:val="2"/>
        <w:numPr>
          <w:ilvl w:val="0"/>
          <w:numId w:val="2"/>
        </w:numPr>
        <w:rPr>
          <w:sz w:val="32"/>
          <w:szCs w:val="32"/>
          <w:lang w:val="zh-CN"/>
        </w:rPr>
      </w:pPr>
      <w:r>
        <w:rPr>
          <w:rFonts w:hint="eastAsia"/>
          <w:sz w:val="32"/>
          <w:szCs w:val="32"/>
        </w:rPr>
        <w:t xml:space="preserve"> </w:t>
      </w:r>
      <w:r>
        <w:rPr>
          <w:rFonts w:hint="eastAsia"/>
          <w:sz w:val="32"/>
          <w:szCs w:val="32"/>
          <w:lang w:val="zh-CN"/>
        </w:rPr>
        <w:t>政府采购合同书格式（范本）</w:t>
      </w:r>
      <w:bookmarkEnd w:id="22"/>
      <w:bookmarkEnd w:id="23"/>
    </w:p>
    <w:p w14:paraId="37030189">
      <w:pPr>
        <w:autoSpaceDE w:val="0"/>
        <w:autoSpaceDN w:val="0"/>
        <w:adjustRightInd w:val="0"/>
        <w:spacing w:line="336" w:lineRule="auto"/>
        <w:rPr>
          <w:rFonts w:hint="eastAsia" w:ascii="宋体" w:hAnsi="宋体" w:cs="宋体"/>
          <w:color w:val="000000"/>
          <w:sz w:val="24"/>
          <w:szCs w:val="24"/>
          <w:lang w:val="zh-CN"/>
        </w:rPr>
      </w:pPr>
      <w:r>
        <w:rPr>
          <w:rFonts w:hint="eastAsia" w:ascii="宋体" w:hAnsi="宋体" w:cs="宋体"/>
          <w:color w:val="000000"/>
          <w:sz w:val="24"/>
          <w:szCs w:val="24"/>
          <w:lang w:val="zh-CN"/>
        </w:rPr>
        <w:t>合同编号：</w:t>
      </w:r>
    </w:p>
    <w:p w14:paraId="095EB505">
      <w:pPr>
        <w:autoSpaceDE w:val="0"/>
        <w:autoSpaceDN w:val="0"/>
        <w:adjustRightInd w:val="0"/>
        <w:spacing w:line="336" w:lineRule="auto"/>
        <w:rPr>
          <w:rFonts w:hint="eastAsia" w:ascii="宋体" w:hAnsi="宋体" w:cs="宋体"/>
          <w:color w:val="000000"/>
          <w:sz w:val="24"/>
          <w:szCs w:val="24"/>
          <w:lang w:val="zh-CN"/>
        </w:rPr>
      </w:pPr>
      <w:r>
        <w:rPr>
          <w:rFonts w:hint="eastAsia" w:ascii="宋体" w:hAnsi="宋体" w:cs="宋体"/>
          <w:color w:val="000000"/>
          <w:sz w:val="24"/>
          <w:szCs w:val="24"/>
          <w:lang w:val="zh-CN"/>
        </w:rPr>
        <w:t>签订地点：</w:t>
      </w:r>
    </w:p>
    <w:p w14:paraId="115348E7">
      <w:pPr>
        <w:autoSpaceDE w:val="0"/>
        <w:autoSpaceDN w:val="0"/>
        <w:adjustRightInd w:val="0"/>
        <w:spacing w:line="336" w:lineRule="auto"/>
        <w:rPr>
          <w:rFonts w:hint="eastAsia" w:ascii="宋体" w:hAnsi="宋体" w:cs="宋体"/>
          <w:color w:val="000000"/>
          <w:sz w:val="24"/>
          <w:szCs w:val="24"/>
          <w:lang w:val="zh-CN"/>
        </w:rPr>
      </w:pPr>
      <w:r>
        <w:rPr>
          <w:rFonts w:hint="eastAsia" w:ascii="宋体" w:hAnsi="宋体" w:cs="宋体"/>
          <w:color w:val="000000"/>
          <w:sz w:val="24"/>
          <w:szCs w:val="24"/>
          <w:lang w:val="zh-CN"/>
        </w:rPr>
        <w:t xml:space="preserve">签订日期：  年  月  日 </w:t>
      </w:r>
    </w:p>
    <w:p w14:paraId="43206F5A">
      <w:pPr>
        <w:autoSpaceDE w:val="0"/>
        <w:autoSpaceDN w:val="0"/>
        <w:adjustRightInd w:val="0"/>
        <w:spacing w:line="336" w:lineRule="auto"/>
        <w:rPr>
          <w:rFonts w:hint="eastAsia" w:ascii="宋体" w:hAnsi="宋体" w:cs="宋体"/>
          <w:color w:val="000000"/>
          <w:sz w:val="24"/>
          <w:szCs w:val="24"/>
          <w:lang w:val="zh-CN"/>
        </w:rPr>
      </w:pPr>
      <w:r>
        <w:rPr>
          <w:rFonts w:hint="eastAsia" w:ascii="宋体" w:hAnsi="宋体" w:cs="宋体"/>
          <w:color w:val="000000"/>
          <w:sz w:val="24"/>
          <w:szCs w:val="24"/>
          <w:lang w:val="zh-CN"/>
        </w:rPr>
        <w:t>采购任务通知书编号：</w:t>
      </w:r>
    </w:p>
    <w:p w14:paraId="4E5CBAB1">
      <w:pPr>
        <w:autoSpaceDE w:val="0"/>
        <w:autoSpaceDN w:val="0"/>
        <w:adjustRightInd w:val="0"/>
        <w:spacing w:line="336" w:lineRule="auto"/>
        <w:rPr>
          <w:rFonts w:hint="eastAsia" w:ascii="宋体" w:hAnsi="宋体" w:cs="宋体"/>
          <w:color w:val="000000"/>
          <w:sz w:val="24"/>
          <w:szCs w:val="24"/>
          <w:lang w:val="zh-CN"/>
        </w:rPr>
      </w:pPr>
      <w:r>
        <w:rPr>
          <w:rFonts w:hint="eastAsia" w:ascii="宋体" w:hAnsi="宋体" w:cs="宋体"/>
          <w:color w:val="000000"/>
          <w:sz w:val="24"/>
          <w:szCs w:val="24"/>
          <w:lang w:val="zh-CN"/>
        </w:rPr>
        <w:t xml:space="preserve">     </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（需方）需求的</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（货物名称）经招标公司以编号为</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的招标文件在国内公开招标，评标委员会评定（供方）为中标供应商。供需双方按照</w:t>
      </w:r>
      <w:r>
        <w:rPr>
          <w:rFonts w:hint="eastAsia" w:ascii="宋体" w:hAnsi="宋体" w:cs="宋体"/>
          <w:sz w:val="24"/>
          <w:szCs w:val="24"/>
          <w:lang w:val="zh-CN"/>
        </w:rPr>
        <w:t>《中华人民共和国民法典》</w:t>
      </w:r>
      <w:r>
        <w:rPr>
          <w:rFonts w:hint="eastAsia" w:ascii="宋体" w:hAnsi="宋体" w:cs="宋体"/>
          <w:color w:val="000000"/>
          <w:sz w:val="24"/>
          <w:szCs w:val="24"/>
          <w:lang w:val="zh-CN"/>
        </w:rPr>
        <w:t>和有关法律法规，遵循平等、自愿、公平和诚实信用原则，同意按照下面的条款和条件订立本合同，共同信守。</w:t>
      </w:r>
    </w:p>
    <w:p w14:paraId="567300D3">
      <w:pPr>
        <w:autoSpaceDE w:val="0"/>
        <w:autoSpaceDN w:val="0"/>
        <w:adjustRightInd w:val="0"/>
        <w:spacing w:line="336" w:lineRule="auto"/>
        <w:ind w:firstLine="482" w:firstLineChars="200"/>
        <w:rPr>
          <w:rFonts w:hint="eastAsia" w:ascii="宋体" w:hAnsi="宋体" w:cs="宋体"/>
          <w:color w:val="000000"/>
          <w:sz w:val="24"/>
          <w:szCs w:val="24"/>
          <w:lang w:val="zh-CN"/>
        </w:rPr>
      </w:pPr>
      <w:r>
        <w:rPr>
          <w:rFonts w:hint="eastAsia" w:ascii="宋体" w:hAnsi="宋体" w:cs="宋体"/>
          <w:b/>
          <w:color w:val="000000"/>
          <w:sz w:val="24"/>
          <w:szCs w:val="24"/>
          <w:lang w:val="zh-CN"/>
        </w:rPr>
        <w:t>1.合同标的</w:t>
      </w:r>
      <w:r>
        <w:rPr>
          <w:rFonts w:hint="eastAsia" w:ascii="宋体" w:hAnsi="宋体" w:cs="宋体"/>
          <w:color w:val="000000"/>
          <w:sz w:val="24"/>
          <w:szCs w:val="24"/>
          <w:lang w:val="zh-CN"/>
        </w:rPr>
        <w:t xml:space="preserve">： </w:t>
      </w:r>
    </w:p>
    <w:tbl>
      <w:tblPr>
        <w:tblStyle w:val="21"/>
        <w:tblW w:w="10000" w:type="dxa"/>
        <w:jc w:val="center"/>
        <w:tblLayout w:type="fixed"/>
        <w:tblCellMar>
          <w:top w:w="0" w:type="dxa"/>
          <w:left w:w="10" w:type="dxa"/>
          <w:bottom w:w="0" w:type="dxa"/>
          <w:right w:w="10" w:type="dxa"/>
        </w:tblCellMar>
      </w:tblPr>
      <w:tblGrid>
        <w:gridCol w:w="2020"/>
        <w:gridCol w:w="3350"/>
        <w:gridCol w:w="1317"/>
        <w:gridCol w:w="1301"/>
        <w:gridCol w:w="2012"/>
      </w:tblGrid>
      <w:tr w14:paraId="3A610C09">
        <w:tblPrEx>
          <w:tblCellMar>
            <w:top w:w="0" w:type="dxa"/>
            <w:left w:w="10" w:type="dxa"/>
            <w:bottom w:w="0" w:type="dxa"/>
            <w:right w:w="10" w:type="dxa"/>
          </w:tblCellMar>
        </w:tblPrEx>
        <w:trPr>
          <w:trHeight w:val="493" w:hRule="atLeast"/>
          <w:jc w:val="center"/>
        </w:trPr>
        <w:tc>
          <w:tcPr>
            <w:tcW w:w="2020" w:type="dxa"/>
            <w:tcBorders>
              <w:top w:val="single" w:color="000000" w:sz="6" w:space="0"/>
              <w:left w:val="single" w:color="000000" w:sz="6" w:space="0"/>
              <w:bottom w:val="single" w:color="000000" w:sz="6" w:space="0"/>
              <w:right w:val="single" w:color="000000" w:sz="6" w:space="0"/>
            </w:tcBorders>
            <w:vAlign w:val="center"/>
          </w:tcPr>
          <w:p w14:paraId="14F38768">
            <w:pPr>
              <w:autoSpaceDE w:val="0"/>
              <w:autoSpaceDN w:val="0"/>
              <w:adjustRightInd w:val="0"/>
              <w:spacing w:line="336" w:lineRule="auto"/>
              <w:jc w:val="center"/>
              <w:rPr>
                <w:rFonts w:hint="eastAsia" w:ascii="宋体" w:hAnsi="宋体" w:cs="宋体"/>
                <w:color w:val="000000"/>
                <w:sz w:val="24"/>
                <w:szCs w:val="24"/>
              </w:rPr>
            </w:pPr>
            <w:r>
              <w:rPr>
                <w:rFonts w:hint="eastAsia" w:ascii="宋体" w:hAnsi="宋体" w:cs="宋体"/>
                <w:color w:val="000000"/>
                <w:sz w:val="24"/>
                <w:szCs w:val="24"/>
                <w:lang w:val="zh-CN"/>
              </w:rPr>
              <w:t>采购项目名称</w:t>
            </w:r>
          </w:p>
        </w:tc>
        <w:tc>
          <w:tcPr>
            <w:tcW w:w="3350" w:type="dxa"/>
            <w:tcBorders>
              <w:top w:val="single" w:color="000000" w:sz="6" w:space="0"/>
              <w:left w:val="single" w:color="000000" w:sz="6" w:space="0"/>
              <w:bottom w:val="single" w:color="000000" w:sz="6" w:space="0"/>
              <w:right w:val="single" w:color="000000" w:sz="6" w:space="0"/>
            </w:tcBorders>
            <w:vAlign w:val="center"/>
          </w:tcPr>
          <w:p w14:paraId="5D9E51B5">
            <w:pPr>
              <w:autoSpaceDE w:val="0"/>
              <w:autoSpaceDN w:val="0"/>
              <w:adjustRightInd w:val="0"/>
              <w:spacing w:line="336" w:lineRule="auto"/>
              <w:jc w:val="center"/>
              <w:rPr>
                <w:rFonts w:hint="eastAsia" w:ascii="宋体" w:hAnsi="宋体" w:cs="宋体"/>
                <w:color w:val="000000"/>
                <w:sz w:val="24"/>
                <w:szCs w:val="24"/>
              </w:rPr>
            </w:pPr>
            <w:r>
              <w:rPr>
                <w:rFonts w:hint="eastAsia" w:ascii="宋体" w:hAnsi="宋体" w:cs="宋体"/>
                <w:color w:val="000000"/>
                <w:sz w:val="24"/>
                <w:szCs w:val="24"/>
                <w:lang w:val="zh-CN"/>
              </w:rPr>
              <w:t>详细配置及主要技术参数</w:t>
            </w:r>
          </w:p>
        </w:tc>
        <w:tc>
          <w:tcPr>
            <w:tcW w:w="1317" w:type="dxa"/>
            <w:tcBorders>
              <w:top w:val="single" w:color="000000" w:sz="6" w:space="0"/>
              <w:left w:val="single" w:color="000000" w:sz="6" w:space="0"/>
              <w:bottom w:val="single" w:color="000000" w:sz="6" w:space="0"/>
              <w:right w:val="single" w:color="000000" w:sz="6" w:space="0"/>
            </w:tcBorders>
            <w:vAlign w:val="center"/>
          </w:tcPr>
          <w:p w14:paraId="1DB17E0C">
            <w:pPr>
              <w:autoSpaceDE w:val="0"/>
              <w:autoSpaceDN w:val="0"/>
              <w:adjustRightInd w:val="0"/>
              <w:spacing w:line="336" w:lineRule="auto"/>
              <w:jc w:val="center"/>
              <w:rPr>
                <w:rFonts w:hint="eastAsia" w:ascii="宋体" w:hAnsi="宋体" w:cs="宋体"/>
                <w:color w:val="000000"/>
                <w:sz w:val="24"/>
                <w:szCs w:val="24"/>
              </w:rPr>
            </w:pPr>
            <w:r>
              <w:rPr>
                <w:rFonts w:hint="eastAsia" w:ascii="宋体" w:hAnsi="宋体" w:cs="宋体"/>
                <w:color w:val="000000"/>
                <w:sz w:val="24"/>
                <w:szCs w:val="24"/>
                <w:lang w:val="zh-CN"/>
              </w:rPr>
              <w:t>数量</w:t>
            </w:r>
          </w:p>
        </w:tc>
        <w:tc>
          <w:tcPr>
            <w:tcW w:w="1301" w:type="dxa"/>
            <w:tcBorders>
              <w:top w:val="single" w:color="000000" w:sz="6" w:space="0"/>
              <w:left w:val="single" w:color="000000" w:sz="6" w:space="0"/>
              <w:bottom w:val="single" w:color="000000" w:sz="6" w:space="0"/>
              <w:right w:val="single" w:color="000000" w:sz="6" w:space="0"/>
            </w:tcBorders>
            <w:vAlign w:val="center"/>
          </w:tcPr>
          <w:p w14:paraId="3D3D5E69">
            <w:pPr>
              <w:autoSpaceDE w:val="0"/>
              <w:autoSpaceDN w:val="0"/>
              <w:adjustRightInd w:val="0"/>
              <w:spacing w:line="336" w:lineRule="auto"/>
              <w:jc w:val="center"/>
              <w:rPr>
                <w:rFonts w:hint="eastAsia" w:ascii="宋体" w:hAnsi="宋体" w:cs="宋体"/>
                <w:color w:val="000000"/>
                <w:sz w:val="24"/>
                <w:szCs w:val="24"/>
              </w:rPr>
            </w:pPr>
            <w:r>
              <w:rPr>
                <w:rFonts w:hint="eastAsia" w:ascii="宋体" w:hAnsi="宋体" w:cs="宋体"/>
                <w:color w:val="000000"/>
                <w:sz w:val="24"/>
                <w:szCs w:val="24"/>
                <w:lang w:val="zh-CN"/>
              </w:rPr>
              <w:t>单价</w:t>
            </w:r>
            <w:r>
              <w:rPr>
                <w:rFonts w:hint="eastAsia" w:ascii="宋体" w:hAnsi="宋体" w:cs="宋体"/>
                <w:color w:val="000000"/>
                <w:sz w:val="24"/>
                <w:szCs w:val="24"/>
              </w:rPr>
              <w:t>(</w:t>
            </w:r>
            <w:r>
              <w:rPr>
                <w:rFonts w:hint="eastAsia" w:ascii="宋体" w:hAnsi="宋体" w:cs="宋体"/>
                <w:color w:val="000000"/>
                <w:sz w:val="24"/>
                <w:szCs w:val="24"/>
                <w:lang w:val="zh-CN"/>
              </w:rPr>
              <w:t>元</w:t>
            </w:r>
            <w:r>
              <w:rPr>
                <w:rFonts w:hint="eastAsia" w:ascii="宋体" w:hAnsi="宋体" w:cs="宋体"/>
                <w:color w:val="000000"/>
                <w:sz w:val="24"/>
                <w:szCs w:val="24"/>
              </w:rPr>
              <w:t>)</w:t>
            </w:r>
          </w:p>
        </w:tc>
        <w:tc>
          <w:tcPr>
            <w:tcW w:w="2012" w:type="dxa"/>
            <w:tcBorders>
              <w:top w:val="single" w:color="000000" w:sz="6" w:space="0"/>
              <w:left w:val="single" w:color="000000" w:sz="6" w:space="0"/>
              <w:bottom w:val="single" w:color="000000" w:sz="6" w:space="0"/>
              <w:right w:val="single" w:color="000000" w:sz="6" w:space="0"/>
            </w:tcBorders>
            <w:vAlign w:val="center"/>
          </w:tcPr>
          <w:p w14:paraId="765BC9FE">
            <w:pPr>
              <w:autoSpaceDE w:val="0"/>
              <w:autoSpaceDN w:val="0"/>
              <w:adjustRightInd w:val="0"/>
              <w:spacing w:line="336" w:lineRule="auto"/>
              <w:jc w:val="center"/>
              <w:rPr>
                <w:rFonts w:hint="eastAsia" w:ascii="宋体" w:hAnsi="宋体" w:cs="宋体"/>
                <w:color w:val="000000"/>
                <w:sz w:val="24"/>
                <w:szCs w:val="24"/>
              </w:rPr>
            </w:pPr>
            <w:r>
              <w:rPr>
                <w:rFonts w:hint="eastAsia" w:ascii="宋体" w:hAnsi="宋体" w:cs="宋体"/>
                <w:color w:val="000000"/>
                <w:sz w:val="24"/>
                <w:szCs w:val="24"/>
                <w:lang w:val="zh-CN"/>
              </w:rPr>
              <w:t>小计金额</w:t>
            </w:r>
            <w:r>
              <w:rPr>
                <w:rFonts w:hint="eastAsia" w:ascii="宋体" w:hAnsi="宋体" w:cs="宋体"/>
                <w:color w:val="000000"/>
                <w:sz w:val="24"/>
                <w:szCs w:val="24"/>
              </w:rPr>
              <w:t>(</w:t>
            </w:r>
            <w:r>
              <w:rPr>
                <w:rFonts w:hint="eastAsia" w:ascii="宋体" w:hAnsi="宋体" w:cs="宋体"/>
                <w:color w:val="000000"/>
                <w:sz w:val="24"/>
                <w:szCs w:val="24"/>
                <w:lang w:val="zh-CN"/>
              </w:rPr>
              <w:t>元</w:t>
            </w:r>
            <w:r>
              <w:rPr>
                <w:rFonts w:hint="eastAsia" w:ascii="宋体" w:hAnsi="宋体" w:cs="宋体"/>
                <w:color w:val="000000"/>
                <w:sz w:val="24"/>
                <w:szCs w:val="24"/>
              </w:rPr>
              <w:t>)</w:t>
            </w:r>
          </w:p>
        </w:tc>
      </w:tr>
      <w:tr w14:paraId="43995AA5">
        <w:tblPrEx>
          <w:tblCellMar>
            <w:top w:w="0" w:type="dxa"/>
            <w:left w:w="10" w:type="dxa"/>
            <w:bottom w:w="0" w:type="dxa"/>
            <w:right w:w="10" w:type="dxa"/>
          </w:tblCellMar>
        </w:tblPrEx>
        <w:trPr>
          <w:trHeight w:val="507" w:hRule="atLeast"/>
          <w:jc w:val="center"/>
        </w:trPr>
        <w:tc>
          <w:tcPr>
            <w:tcW w:w="2020" w:type="dxa"/>
            <w:tcBorders>
              <w:top w:val="single" w:color="000000" w:sz="6" w:space="0"/>
              <w:left w:val="single" w:color="000000" w:sz="6" w:space="0"/>
              <w:bottom w:val="single" w:color="000000" w:sz="6" w:space="0"/>
              <w:right w:val="single" w:color="000000" w:sz="6" w:space="0"/>
            </w:tcBorders>
            <w:vAlign w:val="center"/>
          </w:tcPr>
          <w:p w14:paraId="38178B5D">
            <w:pPr>
              <w:autoSpaceDE w:val="0"/>
              <w:autoSpaceDN w:val="0"/>
              <w:adjustRightInd w:val="0"/>
              <w:spacing w:line="336" w:lineRule="auto"/>
              <w:jc w:val="center"/>
              <w:rPr>
                <w:rFonts w:hint="eastAsia" w:ascii="宋体" w:hAnsi="宋体" w:cs="宋体"/>
                <w:color w:val="000000"/>
                <w:sz w:val="24"/>
                <w:szCs w:val="24"/>
                <w:lang w:val="zh-CN"/>
              </w:rPr>
            </w:pPr>
          </w:p>
        </w:tc>
        <w:tc>
          <w:tcPr>
            <w:tcW w:w="3350" w:type="dxa"/>
            <w:tcBorders>
              <w:top w:val="single" w:color="000000" w:sz="6" w:space="0"/>
              <w:left w:val="single" w:color="000000" w:sz="6" w:space="0"/>
              <w:bottom w:val="single" w:color="000000" w:sz="6" w:space="0"/>
              <w:right w:val="single" w:color="000000" w:sz="6" w:space="0"/>
            </w:tcBorders>
            <w:vAlign w:val="center"/>
          </w:tcPr>
          <w:p w14:paraId="7A4A3D4F">
            <w:pPr>
              <w:autoSpaceDE w:val="0"/>
              <w:autoSpaceDN w:val="0"/>
              <w:adjustRightInd w:val="0"/>
              <w:spacing w:line="336" w:lineRule="auto"/>
              <w:jc w:val="center"/>
              <w:rPr>
                <w:rFonts w:hint="eastAsia" w:ascii="宋体" w:hAnsi="宋体" w:cs="宋体"/>
                <w:color w:val="000000"/>
                <w:sz w:val="24"/>
                <w:szCs w:val="24"/>
                <w:lang w:val="zh-CN"/>
              </w:rPr>
            </w:pPr>
          </w:p>
        </w:tc>
        <w:tc>
          <w:tcPr>
            <w:tcW w:w="1317" w:type="dxa"/>
            <w:tcBorders>
              <w:top w:val="single" w:color="000000" w:sz="6" w:space="0"/>
              <w:left w:val="single" w:color="000000" w:sz="6" w:space="0"/>
              <w:bottom w:val="single" w:color="000000" w:sz="6" w:space="0"/>
              <w:right w:val="single" w:color="000000" w:sz="6" w:space="0"/>
            </w:tcBorders>
            <w:vAlign w:val="center"/>
          </w:tcPr>
          <w:p w14:paraId="0D1EE754">
            <w:pPr>
              <w:autoSpaceDE w:val="0"/>
              <w:autoSpaceDN w:val="0"/>
              <w:adjustRightInd w:val="0"/>
              <w:spacing w:line="336" w:lineRule="auto"/>
              <w:jc w:val="center"/>
              <w:rPr>
                <w:rFonts w:hint="eastAsia" w:ascii="宋体" w:hAnsi="宋体" w:cs="宋体"/>
                <w:color w:val="000000"/>
                <w:sz w:val="24"/>
                <w:szCs w:val="24"/>
                <w:lang w:val="zh-CN"/>
              </w:rPr>
            </w:pPr>
          </w:p>
        </w:tc>
        <w:tc>
          <w:tcPr>
            <w:tcW w:w="1301" w:type="dxa"/>
            <w:tcBorders>
              <w:top w:val="single" w:color="000000" w:sz="6" w:space="0"/>
              <w:left w:val="single" w:color="000000" w:sz="6" w:space="0"/>
              <w:bottom w:val="single" w:color="000000" w:sz="6" w:space="0"/>
              <w:right w:val="single" w:color="000000" w:sz="6" w:space="0"/>
            </w:tcBorders>
            <w:vAlign w:val="center"/>
          </w:tcPr>
          <w:p w14:paraId="759D3D15">
            <w:pPr>
              <w:autoSpaceDE w:val="0"/>
              <w:autoSpaceDN w:val="0"/>
              <w:adjustRightInd w:val="0"/>
              <w:spacing w:line="336" w:lineRule="auto"/>
              <w:jc w:val="center"/>
              <w:rPr>
                <w:rFonts w:hint="eastAsia" w:ascii="宋体" w:hAnsi="宋体" w:cs="宋体"/>
                <w:color w:val="000000"/>
                <w:sz w:val="24"/>
                <w:szCs w:val="24"/>
                <w:lang w:val="zh-CN"/>
              </w:rPr>
            </w:pPr>
          </w:p>
        </w:tc>
        <w:tc>
          <w:tcPr>
            <w:tcW w:w="2012" w:type="dxa"/>
            <w:tcBorders>
              <w:top w:val="single" w:color="000000" w:sz="6" w:space="0"/>
              <w:left w:val="single" w:color="000000" w:sz="6" w:space="0"/>
              <w:bottom w:val="single" w:color="000000" w:sz="6" w:space="0"/>
              <w:right w:val="single" w:color="000000" w:sz="6" w:space="0"/>
            </w:tcBorders>
            <w:vAlign w:val="center"/>
          </w:tcPr>
          <w:p w14:paraId="2C3D37FB">
            <w:pPr>
              <w:autoSpaceDE w:val="0"/>
              <w:autoSpaceDN w:val="0"/>
              <w:adjustRightInd w:val="0"/>
              <w:spacing w:line="336" w:lineRule="auto"/>
              <w:jc w:val="center"/>
              <w:rPr>
                <w:rFonts w:hint="eastAsia" w:ascii="宋体" w:hAnsi="宋体" w:cs="宋体"/>
                <w:color w:val="000000"/>
                <w:sz w:val="24"/>
                <w:szCs w:val="24"/>
                <w:lang w:val="zh-CN"/>
              </w:rPr>
            </w:pPr>
          </w:p>
        </w:tc>
      </w:tr>
    </w:tbl>
    <w:p w14:paraId="6D374A33">
      <w:pPr>
        <w:autoSpaceDE w:val="0"/>
        <w:autoSpaceDN w:val="0"/>
        <w:adjustRightInd w:val="0"/>
        <w:spacing w:line="336" w:lineRule="auto"/>
        <w:ind w:firstLine="482" w:firstLineChars="200"/>
        <w:rPr>
          <w:rFonts w:hint="eastAsia" w:ascii="宋体" w:hAnsi="宋体" w:cs="宋体"/>
          <w:bCs/>
          <w:color w:val="000000"/>
          <w:sz w:val="24"/>
          <w:szCs w:val="24"/>
          <w:lang w:val="zh-CN"/>
        </w:rPr>
      </w:pPr>
      <w:r>
        <w:rPr>
          <w:rFonts w:hint="eastAsia" w:ascii="宋体" w:hAnsi="宋体" w:cs="宋体"/>
          <w:b/>
          <w:color w:val="000000"/>
          <w:sz w:val="24"/>
          <w:szCs w:val="24"/>
          <w:lang w:val="zh-CN"/>
        </w:rPr>
        <w:t>2</w:t>
      </w:r>
      <w:r>
        <w:rPr>
          <w:rFonts w:hint="eastAsia" w:ascii="宋体" w:hAnsi="宋体" w:cs="宋体"/>
          <w:bCs/>
          <w:color w:val="000000"/>
          <w:sz w:val="24"/>
          <w:szCs w:val="24"/>
          <w:lang w:val="zh-CN"/>
        </w:rPr>
        <w:t>. 合同价格：人民币（大写）             元，（小写）￥:            元。</w:t>
      </w:r>
    </w:p>
    <w:p w14:paraId="7D2673B2">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lang w:val="zh-CN"/>
        </w:rPr>
        <w:t>3. 合同履行期限、地点、方式</w:t>
      </w:r>
    </w:p>
    <w:p w14:paraId="47316687">
      <w:pPr>
        <w:autoSpaceDE w:val="0"/>
        <w:autoSpaceDN w:val="0"/>
        <w:adjustRightInd w:val="0"/>
        <w:spacing w:line="336" w:lineRule="auto"/>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3.1合同履行期限：签订合同后   天内供货。</w:t>
      </w:r>
    </w:p>
    <w:p w14:paraId="4D37346A">
      <w:pPr>
        <w:autoSpaceDE w:val="0"/>
        <w:autoSpaceDN w:val="0"/>
        <w:adjustRightInd w:val="0"/>
        <w:spacing w:line="336" w:lineRule="auto"/>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3.2供货地点： </w:t>
      </w:r>
    </w:p>
    <w:p w14:paraId="59E2AB83">
      <w:pPr>
        <w:autoSpaceDE w:val="0"/>
        <w:autoSpaceDN w:val="0"/>
        <w:adjustRightInd w:val="0"/>
        <w:spacing w:line="336" w:lineRule="auto"/>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3.3供货方式：由中标人负责将包装完好的货物安全完好运抵交货地点、安装调试并保证验收合格。</w:t>
      </w:r>
    </w:p>
    <w:p w14:paraId="67DA94BB">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lang w:val="zh-CN"/>
        </w:rPr>
        <w:t>4. 付款方式：</w:t>
      </w:r>
    </w:p>
    <w:p w14:paraId="4788C976">
      <w:pPr>
        <w:autoSpaceDE w:val="0"/>
        <w:autoSpaceDN w:val="0"/>
        <w:adjustRightInd w:val="0"/>
        <w:spacing w:line="336" w:lineRule="auto"/>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4.1供方供货时应提交下列文件：销售发票，国家有关质检机构出具的检验报告或证书（如果合同约定有的话），进口产品的报关文件（如果合同约定有的话），制造厂商出具的质量检验证书、产品合格证等。</w:t>
      </w:r>
    </w:p>
    <w:p w14:paraId="65A5938C">
      <w:pPr>
        <w:autoSpaceDE w:val="0"/>
        <w:autoSpaceDN w:val="0"/>
        <w:adjustRightInd w:val="0"/>
        <w:spacing w:line="336" w:lineRule="auto"/>
        <w:ind w:firstLine="480"/>
        <w:rPr>
          <w:rFonts w:hint="eastAsia" w:ascii="宋体" w:hAnsi="宋体" w:cs="宋体"/>
          <w:sz w:val="24"/>
          <w:szCs w:val="24"/>
          <w:lang w:val="zh-CN"/>
        </w:rPr>
      </w:pPr>
      <w:r>
        <w:rPr>
          <w:rFonts w:hint="eastAsia" w:ascii="宋体" w:hAnsi="宋体" w:cs="宋体"/>
          <w:bCs/>
          <w:color w:val="000000"/>
          <w:sz w:val="24"/>
          <w:szCs w:val="24"/>
          <w:lang w:val="zh-CN"/>
        </w:rPr>
        <w:t xml:space="preserve">4.2 </w:t>
      </w:r>
      <w:r>
        <w:rPr>
          <w:rFonts w:hint="eastAsia" w:ascii="宋体" w:hAnsi="宋体" w:cs="宋体"/>
          <w:sz w:val="24"/>
          <w:szCs w:val="24"/>
          <w:lang w:val="zh-CN"/>
        </w:rPr>
        <w:t>在签署本合同</w:t>
      </w:r>
      <w:r>
        <w:rPr>
          <w:rFonts w:hint="eastAsia" w:ascii="宋体" w:hAnsi="宋体" w:cs="宋体"/>
          <w:sz w:val="24"/>
          <w:szCs w:val="24"/>
        </w:rPr>
        <w:t>后，供方须将</w:t>
      </w:r>
      <w:r>
        <w:rPr>
          <w:rFonts w:hint="eastAsia" w:ascii="宋体" w:hAnsi="宋体" w:cs="宋体"/>
          <w:sz w:val="24"/>
          <w:szCs w:val="24"/>
          <w:lang w:val="zh-CN"/>
        </w:rPr>
        <w:t>货物运抵需方指定地点，安装调试并经需方验收合格后，一次性支付合同总额的</w:t>
      </w:r>
      <w:r>
        <w:rPr>
          <w:rFonts w:hint="eastAsia" w:ascii="宋体" w:hAnsi="宋体" w:cs="宋体"/>
          <w:sz w:val="24"/>
          <w:szCs w:val="24"/>
        </w:rPr>
        <w:t>1</w:t>
      </w:r>
      <w:r>
        <w:rPr>
          <w:rFonts w:hint="eastAsia" w:ascii="宋体" w:hAnsi="宋体" w:cs="宋体"/>
          <w:sz w:val="24"/>
          <w:szCs w:val="24"/>
          <w:lang w:val="zh-CN"/>
        </w:rPr>
        <w:t>00%。</w:t>
      </w:r>
    </w:p>
    <w:p w14:paraId="1C1A6057">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lang w:val="zh-CN"/>
        </w:rPr>
        <w:t>5．履约保证金</w:t>
      </w:r>
    </w:p>
    <w:p w14:paraId="3AEEB476">
      <w:pPr>
        <w:autoSpaceDE w:val="0"/>
        <w:autoSpaceDN w:val="0"/>
        <w:adjustRightInd w:val="0"/>
        <w:spacing w:line="336" w:lineRule="auto"/>
        <w:ind w:firstLine="480"/>
        <w:rPr>
          <w:rFonts w:hint="eastAsia" w:ascii="宋体" w:hAnsi="宋体" w:cs="宋体"/>
          <w:sz w:val="24"/>
          <w:szCs w:val="24"/>
          <w:lang w:val="zh-CN"/>
        </w:rPr>
      </w:pPr>
      <w:r>
        <w:rPr>
          <w:rFonts w:hint="eastAsia" w:ascii="宋体" w:hAnsi="宋体" w:cs="宋体"/>
          <w:sz w:val="24"/>
          <w:szCs w:val="24"/>
          <w:lang w:val="zh-CN"/>
        </w:rPr>
        <w:t>5.</w:t>
      </w:r>
      <w:r>
        <w:rPr>
          <w:rFonts w:hint="eastAsia" w:ascii="宋体" w:hAnsi="宋体" w:cs="宋体"/>
          <w:sz w:val="24"/>
          <w:szCs w:val="24"/>
        </w:rPr>
        <w:t>1</w:t>
      </w:r>
      <w:r>
        <w:rPr>
          <w:rFonts w:hint="eastAsia" w:ascii="宋体" w:hAnsi="宋体" w:cs="宋体"/>
          <w:bCs/>
          <w:color w:val="000000"/>
          <w:sz w:val="24"/>
          <w:szCs w:val="24"/>
          <w:lang w:val="zh-CN"/>
        </w:rPr>
        <w:t xml:space="preserve"> </w:t>
      </w:r>
      <w:r>
        <w:rPr>
          <w:rFonts w:hint="eastAsia" w:ascii="宋体" w:hAnsi="宋体" w:cs="宋体"/>
          <w:sz w:val="24"/>
          <w:szCs w:val="24"/>
          <w:lang w:val="zh-CN"/>
        </w:rPr>
        <w:t>在签署本合同</w:t>
      </w:r>
      <w:r>
        <w:rPr>
          <w:rFonts w:hint="eastAsia" w:ascii="宋体" w:hAnsi="宋体" w:cs="宋体"/>
          <w:sz w:val="24"/>
          <w:szCs w:val="24"/>
        </w:rPr>
        <w:t>时</w:t>
      </w:r>
      <w:r>
        <w:rPr>
          <w:rFonts w:hint="eastAsia" w:ascii="宋体" w:hAnsi="宋体" w:cs="宋体"/>
          <w:sz w:val="24"/>
          <w:szCs w:val="24"/>
          <w:lang w:val="zh-CN"/>
        </w:rPr>
        <w:t>，供方应向需方提交合同总价5%的履约保证金（人民币，取整数位到百元）。履约保证金可以采用银行转帐或者现金的方式提交。</w:t>
      </w:r>
    </w:p>
    <w:p w14:paraId="728DD7F3">
      <w:pPr>
        <w:autoSpaceDE w:val="0"/>
        <w:autoSpaceDN w:val="0"/>
        <w:adjustRightInd w:val="0"/>
        <w:spacing w:line="336" w:lineRule="auto"/>
        <w:ind w:firstLine="480"/>
        <w:rPr>
          <w:rFonts w:hint="eastAsia" w:ascii="宋体" w:hAnsi="宋体" w:cs="宋体"/>
          <w:sz w:val="24"/>
          <w:szCs w:val="24"/>
          <w:lang w:val="zh-CN"/>
        </w:rPr>
      </w:pPr>
      <w:r>
        <w:rPr>
          <w:rFonts w:hint="eastAsia" w:ascii="宋体" w:hAnsi="宋体" w:cs="宋体"/>
          <w:sz w:val="24"/>
          <w:szCs w:val="24"/>
          <w:lang w:val="zh-CN"/>
        </w:rPr>
        <w:t>5.</w:t>
      </w:r>
      <w:r>
        <w:rPr>
          <w:rFonts w:hint="eastAsia" w:ascii="宋体" w:hAnsi="宋体" w:cs="宋体"/>
          <w:bCs/>
          <w:color w:val="000000"/>
          <w:sz w:val="24"/>
          <w:szCs w:val="24"/>
          <w:lang w:val="zh-CN"/>
        </w:rPr>
        <w:t xml:space="preserve">2 </w:t>
      </w:r>
      <w:r>
        <w:rPr>
          <w:rFonts w:hint="eastAsia" w:ascii="宋体" w:hAnsi="宋体" w:cs="宋体"/>
          <w:sz w:val="24"/>
          <w:szCs w:val="24"/>
          <w:lang w:val="zh-CN"/>
        </w:rPr>
        <w:t>履约保证金的有效期到供方提交的货物经需方验收合格并交付给需方之日止，以银行转帐方式返还，不计利息。</w:t>
      </w:r>
    </w:p>
    <w:p w14:paraId="46A27140">
      <w:pPr>
        <w:autoSpaceDE w:val="0"/>
        <w:autoSpaceDN w:val="0"/>
        <w:adjustRightInd w:val="0"/>
        <w:spacing w:line="336" w:lineRule="auto"/>
        <w:ind w:firstLine="480"/>
        <w:rPr>
          <w:rFonts w:hint="eastAsia" w:ascii="宋体" w:hAnsi="宋体" w:cs="宋体"/>
          <w:sz w:val="24"/>
          <w:szCs w:val="24"/>
          <w:lang w:val="zh-CN"/>
        </w:rPr>
      </w:pPr>
      <w:r>
        <w:rPr>
          <w:rFonts w:hint="eastAsia" w:ascii="宋体" w:hAnsi="宋体" w:cs="宋体"/>
          <w:sz w:val="24"/>
          <w:szCs w:val="24"/>
          <w:lang w:val="zh-CN"/>
        </w:rPr>
        <w:t>5.3 履约保证金由需方在货物验收合格交付后10个工作日内返还。</w:t>
      </w:r>
    </w:p>
    <w:p w14:paraId="60DF7459">
      <w:pPr>
        <w:autoSpaceDE w:val="0"/>
        <w:autoSpaceDN w:val="0"/>
        <w:adjustRightInd w:val="0"/>
        <w:spacing w:line="336" w:lineRule="auto"/>
        <w:ind w:firstLine="480"/>
        <w:rPr>
          <w:rFonts w:hint="eastAsia" w:ascii="宋体" w:hAnsi="宋体" w:cs="宋体"/>
          <w:bCs/>
          <w:color w:val="000000"/>
          <w:sz w:val="24"/>
          <w:szCs w:val="24"/>
          <w:lang w:val="zh-CN"/>
        </w:rPr>
      </w:pPr>
      <w:r>
        <w:rPr>
          <w:rFonts w:hint="eastAsia" w:ascii="宋体" w:hAnsi="宋体" w:cs="宋体"/>
          <w:bCs/>
          <w:color w:val="000000"/>
          <w:sz w:val="24"/>
          <w:szCs w:val="24"/>
        </w:rPr>
        <w:t>6</w:t>
      </w:r>
      <w:r>
        <w:rPr>
          <w:rFonts w:hint="eastAsia" w:ascii="宋体" w:hAnsi="宋体" w:cs="宋体"/>
          <w:bCs/>
          <w:color w:val="000000"/>
          <w:sz w:val="24"/>
          <w:szCs w:val="24"/>
          <w:lang w:val="zh-CN"/>
        </w:rPr>
        <w:t>.合同补充条款：</w:t>
      </w:r>
    </w:p>
    <w:p w14:paraId="777F5AD6">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6</w:t>
      </w:r>
      <w:r>
        <w:rPr>
          <w:rFonts w:hint="eastAsia" w:ascii="宋体" w:hAnsi="宋体" w:cs="宋体"/>
          <w:bCs/>
          <w:color w:val="000000"/>
          <w:sz w:val="24"/>
          <w:szCs w:val="24"/>
          <w:lang w:val="zh-CN"/>
        </w:rPr>
        <w:t>.1质量保证：</w:t>
      </w:r>
      <w:r>
        <w:rPr>
          <w:rFonts w:hint="eastAsia" w:ascii="宋体" w:hAnsi="宋体" w:cs="宋体"/>
          <w:color w:val="000000"/>
          <w:sz w:val="24"/>
          <w:szCs w:val="24"/>
          <w:lang w:val="zh-CN"/>
        </w:rPr>
        <w:t>供方提交的货物由需方负责检验验收，供方应提供货物的现场安装、启动和试运行、在质量保证期内对所交付货物提供运行监督、维修保养、免费上门服务，对仪器故障维修机更换确保仪器设备正常运转等，并对需方人员进行培训。</w:t>
      </w:r>
      <w:r>
        <w:rPr>
          <w:rFonts w:hint="eastAsia" w:ascii="宋体" w:hAnsi="宋体" w:cs="宋体"/>
          <w:bCs/>
          <w:color w:val="000000"/>
          <w:sz w:val="24"/>
          <w:szCs w:val="24"/>
          <w:lang w:val="zh-CN"/>
        </w:rPr>
        <w:t xml:space="preserve"> </w:t>
      </w:r>
    </w:p>
    <w:p w14:paraId="6BCCC225">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sz w:val="24"/>
          <w:szCs w:val="24"/>
          <w:lang w:val="zh-CN"/>
        </w:rPr>
        <w:t>6.</w:t>
      </w:r>
      <w:r>
        <w:rPr>
          <w:rFonts w:hint="eastAsia" w:ascii="宋体" w:hAnsi="宋体" w:cs="宋体"/>
          <w:sz w:val="24"/>
          <w:szCs w:val="24"/>
        </w:rPr>
        <w:t>2</w:t>
      </w:r>
      <w:r>
        <w:rPr>
          <w:rFonts w:hint="eastAsia" w:ascii="宋体" w:hAnsi="宋体" w:cs="宋体"/>
          <w:bCs/>
          <w:color w:val="000000"/>
          <w:sz w:val="24"/>
          <w:szCs w:val="24"/>
          <w:lang w:val="zh-CN"/>
        </w:rPr>
        <w:t>质量保证金：(不收取)。</w:t>
      </w:r>
    </w:p>
    <w:p w14:paraId="2940EFC4">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7</w:t>
      </w:r>
      <w:r>
        <w:rPr>
          <w:rFonts w:hint="eastAsia" w:ascii="宋体" w:hAnsi="宋体" w:cs="宋体"/>
          <w:bCs/>
          <w:color w:val="000000"/>
          <w:sz w:val="24"/>
          <w:szCs w:val="24"/>
          <w:lang w:val="zh-CN"/>
        </w:rPr>
        <w:t>.争议解决方式：供需双方达成仲裁协议，向长春市仲裁委员会申请仲裁（向合同签订地人民法院提起诉讼）。</w:t>
      </w:r>
    </w:p>
    <w:p w14:paraId="3B3B0274">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8</w:t>
      </w:r>
      <w:r>
        <w:rPr>
          <w:rFonts w:hint="eastAsia" w:ascii="宋体" w:hAnsi="宋体" w:cs="宋体"/>
          <w:bCs/>
          <w:color w:val="000000"/>
          <w:sz w:val="24"/>
          <w:szCs w:val="24"/>
          <w:lang w:val="zh-CN"/>
        </w:rPr>
        <w:t>．合同构成：下列文件构成本合同不可分割的组成部分，与本合同具有同等法律效力：</w:t>
      </w:r>
    </w:p>
    <w:p w14:paraId="61D9E438">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8</w:t>
      </w:r>
      <w:r>
        <w:rPr>
          <w:rFonts w:hint="eastAsia" w:ascii="宋体" w:hAnsi="宋体" w:cs="宋体"/>
          <w:bCs/>
          <w:color w:val="000000"/>
          <w:sz w:val="24"/>
          <w:szCs w:val="24"/>
          <w:lang w:val="zh-CN"/>
        </w:rPr>
        <w:t>.1本合同书；</w:t>
      </w:r>
    </w:p>
    <w:p w14:paraId="7F152E81">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8</w:t>
      </w:r>
      <w:r>
        <w:rPr>
          <w:rFonts w:hint="eastAsia" w:ascii="宋体" w:hAnsi="宋体" w:cs="宋体"/>
          <w:bCs/>
          <w:color w:val="000000"/>
          <w:sz w:val="24"/>
          <w:szCs w:val="24"/>
          <w:lang w:val="zh-CN"/>
        </w:rPr>
        <w:t>.2中标通知书；</w:t>
      </w:r>
    </w:p>
    <w:p w14:paraId="6AA5F5DC">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8</w:t>
      </w:r>
      <w:r>
        <w:rPr>
          <w:rFonts w:hint="eastAsia" w:ascii="宋体" w:hAnsi="宋体" w:cs="宋体"/>
          <w:bCs/>
          <w:color w:val="000000"/>
          <w:sz w:val="24"/>
          <w:szCs w:val="24"/>
          <w:lang w:val="zh-CN"/>
        </w:rPr>
        <w:t>.3招标文件及澄清、修改、补遗文件；</w:t>
      </w:r>
    </w:p>
    <w:p w14:paraId="7BD5E172">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8</w:t>
      </w:r>
      <w:r>
        <w:rPr>
          <w:rFonts w:hint="eastAsia" w:ascii="宋体" w:hAnsi="宋体" w:cs="宋体"/>
          <w:bCs/>
          <w:color w:val="000000"/>
          <w:sz w:val="24"/>
          <w:szCs w:val="24"/>
          <w:lang w:val="zh-CN"/>
        </w:rPr>
        <w:t>.4供方的投标文件及书面澄清、说明、补正文件；</w:t>
      </w:r>
    </w:p>
    <w:p w14:paraId="5736BB2A">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8</w:t>
      </w:r>
      <w:r>
        <w:rPr>
          <w:rFonts w:hint="eastAsia" w:ascii="宋体" w:hAnsi="宋体" w:cs="宋体"/>
          <w:bCs/>
          <w:color w:val="000000"/>
          <w:sz w:val="24"/>
          <w:szCs w:val="24"/>
          <w:lang w:val="zh-CN"/>
        </w:rPr>
        <w:t>.5产品样本、样品（样机）、说明书、图纸等有关资料；</w:t>
      </w:r>
    </w:p>
    <w:p w14:paraId="69B711B2">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8</w:t>
      </w:r>
      <w:r>
        <w:rPr>
          <w:rFonts w:hint="eastAsia" w:ascii="宋体" w:hAnsi="宋体" w:cs="宋体"/>
          <w:bCs/>
          <w:color w:val="000000"/>
          <w:sz w:val="24"/>
          <w:szCs w:val="24"/>
          <w:lang w:val="zh-CN"/>
        </w:rPr>
        <w:t>.6采购验收报告单；</w:t>
      </w:r>
    </w:p>
    <w:p w14:paraId="2F2ED8E5">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8</w:t>
      </w:r>
      <w:r>
        <w:rPr>
          <w:rFonts w:hint="eastAsia" w:ascii="宋体" w:hAnsi="宋体" w:cs="宋体"/>
          <w:bCs/>
          <w:color w:val="000000"/>
          <w:sz w:val="24"/>
          <w:szCs w:val="24"/>
          <w:lang w:val="zh-CN"/>
        </w:rPr>
        <w:t>.7合同的其它附件。</w:t>
      </w:r>
    </w:p>
    <w:p w14:paraId="33438D01">
      <w:pPr>
        <w:autoSpaceDE w:val="0"/>
        <w:autoSpaceDN w:val="0"/>
        <w:adjustRightInd w:val="0"/>
        <w:spacing w:line="336" w:lineRule="auto"/>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上述组成合同的文件如有不一致之处，以日期在后的为准。</w:t>
      </w:r>
    </w:p>
    <w:p w14:paraId="4185219A">
      <w:pPr>
        <w:autoSpaceDE w:val="0"/>
        <w:autoSpaceDN w:val="0"/>
        <w:adjustRightInd w:val="0"/>
        <w:spacing w:line="336" w:lineRule="auto"/>
        <w:ind w:firstLine="480"/>
        <w:rPr>
          <w:rFonts w:hint="eastAsia" w:ascii="宋体" w:hAnsi="宋体" w:cs="宋体"/>
          <w:bCs/>
          <w:color w:val="000000"/>
          <w:sz w:val="24"/>
          <w:szCs w:val="24"/>
          <w:lang w:val="zh-CN"/>
        </w:rPr>
      </w:pPr>
      <w:r>
        <w:rPr>
          <w:rFonts w:hint="eastAsia" w:ascii="宋体" w:hAnsi="宋体" w:cs="宋体"/>
          <w:bCs/>
          <w:color w:val="000000"/>
          <w:sz w:val="24"/>
          <w:szCs w:val="24"/>
        </w:rPr>
        <w:t>9</w:t>
      </w:r>
      <w:r>
        <w:rPr>
          <w:rFonts w:hint="eastAsia" w:ascii="宋体" w:hAnsi="宋体" w:cs="宋体"/>
          <w:bCs/>
          <w:color w:val="000000"/>
          <w:sz w:val="24"/>
          <w:szCs w:val="24"/>
          <w:lang w:val="zh-CN"/>
        </w:rPr>
        <w:t>.合同份数：</w:t>
      </w:r>
      <w:r>
        <w:rPr>
          <w:rFonts w:hint="eastAsia" w:ascii="宋体" w:hAnsi="宋体" w:cs="宋体"/>
          <w:bCs/>
          <w:sz w:val="24"/>
          <w:szCs w:val="24"/>
          <w:lang w:val="zh-CN"/>
        </w:rPr>
        <w:t xml:space="preserve">本合同一式陆份，供需双方各执叁份。 </w:t>
      </w:r>
    </w:p>
    <w:p w14:paraId="2B66DA4D">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10</w:t>
      </w:r>
      <w:r>
        <w:rPr>
          <w:rFonts w:hint="eastAsia" w:ascii="宋体" w:hAnsi="宋体" w:cs="宋体"/>
          <w:bCs/>
          <w:color w:val="000000"/>
          <w:sz w:val="24"/>
          <w:szCs w:val="24"/>
          <w:lang w:val="zh-CN"/>
        </w:rPr>
        <w:t>.合同生效：本合同在供需双方法定代表人或其授权代理人签字、加盖双方公章或者合同专用章，并且需方收到供方提交的履约保证金后生效。</w:t>
      </w:r>
    </w:p>
    <w:p w14:paraId="23D18F25">
      <w:pPr>
        <w:autoSpaceDE w:val="0"/>
        <w:autoSpaceDN w:val="0"/>
        <w:adjustRightInd w:val="0"/>
        <w:spacing w:line="336"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11</w:t>
      </w:r>
      <w:r>
        <w:rPr>
          <w:rFonts w:hint="eastAsia" w:ascii="宋体" w:hAnsi="宋体" w:cs="宋体"/>
          <w:bCs/>
          <w:color w:val="000000"/>
          <w:sz w:val="24"/>
          <w:szCs w:val="24"/>
          <w:lang w:val="zh-CN"/>
        </w:rPr>
        <w:t>.合同修改：除供需双方签署书面修改、补充协议外，本合同条件不得有任何变化或修改。</w:t>
      </w:r>
    </w:p>
    <w:p w14:paraId="396D49BF">
      <w:pPr>
        <w:autoSpaceDE w:val="0"/>
        <w:autoSpaceDN w:val="0"/>
        <w:adjustRightInd w:val="0"/>
        <w:spacing w:line="336"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        需方：（加盖公章或合同专用章）                供方：（加盖公章或合同专用章）  </w:t>
      </w:r>
    </w:p>
    <w:p w14:paraId="30B2ECEB">
      <w:pPr>
        <w:autoSpaceDE w:val="0"/>
        <w:autoSpaceDN w:val="0"/>
        <w:adjustRightInd w:val="0"/>
        <w:spacing w:line="336" w:lineRule="auto"/>
        <w:ind w:firstLine="960" w:firstLineChars="400"/>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地址：                   </w:t>
      </w:r>
      <w:r>
        <w:rPr>
          <w:rFonts w:hint="eastAsia" w:ascii="宋体" w:hAnsi="宋体" w:cs="宋体"/>
          <w:bCs/>
          <w:color w:val="000000"/>
          <w:sz w:val="24"/>
          <w:szCs w:val="24"/>
        </w:rPr>
        <w:t xml:space="preserve">                    </w:t>
      </w:r>
      <w:r>
        <w:rPr>
          <w:rFonts w:hint="eastAsia" w:ascii="宋体" w:hAnsi="宋体" w:cs="宋体"/>
          <w:bCs/>
          <w:color w:val="000000"/>
          <w:sz w:val="24"/>
          <w:szCs w:val="24"/>
          <w:lang w:val="zh-CN"/>
        </w:rPr>
        <w:t>地址：</w:t>
      </w:r>
    </w:p>
    <w:p w14:paraId="5B37C69D">
      <w:pPr>
        <w:autoSpaceDE w:val="0"/>
        <w:autoSpaceDN w:val="0"/>
        <w:adjustRightInd w:val="0"/>
        <w:spacing w:line="336"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        法定代表人或授权代理人签字：                 法定代表人或授权代理人签字：</w:t>
      </w:r>
    </w:p>
    <w:p w14:paraId="05CB6DAC">
      <w:pPr>
        <w:autoSpaceDE w:val="0"/>
        <w:autoSpaceDN w:val="0"/>
        <w:adjustRightInd w:val="0"/>
        <w:spacing w:line="336" w:lineRule="auto"/>
        <w:ind w:firstLine="960" w:firstLineChars="400"/>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签字日期：               </w:t>
      </w:r>
      <w:r>
        <w:rPr>
          <w:rFonts w:hint="eastAsia" w:ascii="宋体" w:hAnsi="宋体" w:cs="宋体"/>
          <w:bCs/>
          <w:color w:val="000000"/>
          <w:sz w:val="24"/>
          <w:szCs w:val="24"/>
        </w:rPr>
        <w:t xml:space="preserve">                    </w:t>
      </w:r>
      <w:r>
        <w:rPr>
          <w:rFonts w:hint="eastAsia" w:ascii="宋体" w:hAnsi="宋体" w:cs="宋体"/>
          <w:bCs/>
          <w:color w:val="000000"/>
          <w:sz w:val="24"/>
          <w:szCs w:val="24"/>
          <w:lang w:val="zh-CN"/>
        </w:rPr>
        <w:t>签字日期：</w:t>
      </w:r>
    </w:p>
    <w:p w14:paraId="683B23E4">
      <w:pPr>
        <w:autoSpaceDE w:val="0"/>
        <w:autoSpaceDN w:val="0"/>
        <w:adjustRightInd w:val="0"/>
        <w:spacing w:line="336" w:lineRule="auto"/>
        <w:ind w:firstLine="960" w:firstLineChars="400"/>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邮政编码：               </w:t>
      </w:r>
      <w:r>
        <w:rPr>
          <w:rFonts w:hint="eastAsia" w:ascii="宋体" w:hAnsi="宋体" w:cs="宋体"/>
          <w:bCs/>
          <w:color w:val="000000"/>
          <w:sz w:val="24"/>
          <w:szCs w:val="24"/>
        </w:rPr>
        <w:t xml:space="preserve">                    </w:t>
      </w:r>
      <w:r>
        <w:rPr>
          <w:rFonts w:hint="eastAsia" w:ascii="宋体" w:hAnsi="宋体" w:cs="宋体"/>
          <w:bCs/>
          <w:color w:val="000000"/>
          <w:sz w:val="24"/>
          <w:szCs w:val="24"/>
          <w:lang w:val="zh-CN"/>
        </w:rPr>
        <w:t>邮政编码：</w:t>
      </w:r>
    </w:p>
    <w:p w14:paraId="3FDCDBD0">
      <w:pPr>
        <w:autoSpaceDE w:val="0"/>
        <w:autoSpaceDN w:val="0"/>
        <w:adjustRightInd w:val="0"/>
        <w:spacing w:line="336" w:lineRule="auto"/>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                             </w:t>
      </w:r>
      <w:r>
        <w:rPr>
          <w:rFonts w:hint="eastAsia" w:ascii="宋体" w:hAnsi="宋体" w:cs="宋体"/>
          <w:bCs/>
          <w:color w:val="000000"/>
          <w:sz w:val="24"/>
          <w:szCs w:val="24"/>
        </w:rPr>
        <w:t xml:space="preserve">                    </w:t>
      </w:r>
      <w:r>
        <w:rPr>
          <w:rFonts w:hint="eastAsia" w:ascii="宋体" w:hAnsi="宋体" w:cs="宋体"/>
          <w:bCs/>
          <w:color w:val="000000"/>
          <w:sz w:val="24"/>
          <w:szCs w:val="24"/>
          <w:lang w:val="zh-CN"/>
        </w:rPr>
        <w:t>电话：</w:t>
      </w:r>
    </w:p>
    <w:p w14:paraId="16E98951">
      <w:pPr>
        <w:autoSpaceDE w:val="0"/>
        <w:autoSpaceDN w:val="0"/>
        <w:adjustRightInd w:val="0"/>
        <w:spacing w:line="336" w:lineRule="auto"/>
        <w:ind w:firstLine="6302" w:firstLineChars="2626"/>
        <w:rPr>
          <w:rFonts w:hint="eastAsia" w:ascii="宋体" w:hAnsi="宋体" w:cs="宋体"/>
          <w:bCs/>
          <w:color w:val="000000"/>
          <w:sz w:val="24"/>
          <w:szCs w:val="24"/>
          <w:lang w:val="zh-CN"/>
        </w:rPr>
      </w:pPr>
      <w:r>
        <w:rPr>
          <w:rFonts w:hint="eastAsia" w:ascii="宋体" w:hAnsi="宋体" w:cs="宋体"/>
          <w:bCs/>
          <w:color w:val="000000"/>
          <w:sz w:val="24"/>
          <w:szCs w:val="24"/>
          <w:lang w:val="zh-CN"/>
        </w:rPr>
        <w:t>传真：</w:t>
      </w:r>
    </w:p>
    <w:p w14:paraId="1845983C">
      <w:pPr>
        <w:autoSpaceDE w:val="0"/>
        <w:autoSpaceDN w:val="0"/>
        <w:adjustRightInd w:val="0"/>
        <w:spacing w:line="336"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                                 </w:t>
      </w:r>
      <w:r>
        <w:rPr>
          <w:rFonts w:hint="eastAsia" w:ascii="宋体" w:hAnsi="宋体" w:cs="宋体"/>
          <w:bCs/>
          <w:color w:val="000000"/>
          <w:sz w:val="24"/>
          <w:szCs w:val="24"/>
        </w:rPr>
        <w:t xml:space="preserve">                    </w:t>
      </w:r>
      <w:r>
        <w:rPr>
          <w:rFonts w:hint="eastAsia" w:ascii="宋体" w:hAnsi="宋体" w:cs="宋体"/>
          <w:bCs/>
          <w:color w:val="000000"/>
          <w:sz w:val="24"/>
          <w:szCs w:val="24"/>
          <w:lang w:val="zh-CN"/>
        </w:rPr>
        <w:t>联系人：</w:t>
      </w:r>
    </w:p>
    <w:p w14:paraId="40EDE4ED">
      <w:pPr>
        <w:autoSpaceDE w:val="0"/>
        <w:autoSpaceDN w:val="0"/>
        <w:adjustRightInd w:val="0"/>
        <w:spacing w:line="336"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                                 </w:t>
      </w:r>
      <w:r>
        <w:rPr>
          <w:rFonts w:hint="eastAsia" w:ascii="宋体" w:hAnsi="宋体" w:cs="宋体"/>
          <w:bCs/>
          <w:color w:val="000000"/>
          <w:sz w:val="24"/>
          <w:szCs w:val="24"/>
        </w:rPr>
        <w:t xml:space="preserve">                    </w:t>
      </w:r>
      <w:r>
        <w:rPr>
          <w:rFonts w:hint="eastAsia" w:ascii="宋体" w:hAnsi="宋体" w:cs="宋体"/>
          <w:bCs/>
          <w:color w:val="000000"/>
          <w:sz w:val="24"/>
          <w:szCs w:val="24"/>
          <w:lang w:val="zh-CN"/>
        </w:rPr>
        <w:t>开户银行：</w:t>
      </w:r>
    </w:p>
    <w:p w14:paraId="01743B9B">
      <w:pPr>
        <w:autoSpaceDE w:val="0"/>
        <w:autoSpaceDN w:val="0"/>
        <w:adjustRightInd w:val="0"/>
        <w:spacing w:line="336"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                                 </w:t>
      </w:r>
      <w:r>
        <w:rPr>
          <w:rFonts w:hint="eastAsia" w:ascii="宋体" w:hAnsi="宋体" w:cs="宋体"/>
          <w:bCs/>
          <w:color w:val="000000"/>
          <w:sz w:val="24"/>
          <w:szCs w:val="24"/>
        </w:rPr>
        <w:t xml:space="preserve">                    </w:t>
      </w:r>
      <w:r>
        <w:rPr>
          <w:rFonts w:hint="eastAsia" w:ascii="宋体" w:hAnsi="宋体" w:cs="宋体"/>
          <w:bCs/>
          <w:color w:val="000000"/>
          <w:sz w:val="24"/>
          <w:szCs w:val="24"/>
          <w:lang w:val="zh-CN"/>
        </w:rPr>
        <w:t>帐户名称：</w:t>
      </w:r>
    </w:p>
    <w:p w14:paraId="631F652D">
      <w:pPr>
        <w:autoSpaceDE w:val="0"/>
        <w:autoSpaceDN w:val="0"/>
        <w:adjustRightInd w:val="0"/>
        <w:spacing w:line="336"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                                 </w:t>
      </w:r>
      <w:r>
        <w:rPr>
          <w:rFonts w:hint="eastAsia" w:ascii="宋体" w:hAnsi="宋体" w:cs="宋体"/>
          <w:bCs/>
          <w:color w:val="000000"/>
          <w:sz w:val="24"/>
          <w:szCs w:val="24"/>
        </w:rPr>
        <w:t xml:space="preserve">                    </w:t>
      </w:r>
      <w:r>
        <w:rPr>
          <w:rFonts w:hint="eastAsia" w:ascii="宋体" w:hAnsi="宋体" w:cs="宋体"/>
          <w:bCs/>
          <w:color w:val="000000"/>
          <w:sz w:val="24"/>
          <w:szCs w:val="24"/>
          <w:lang w:val="zh-CN"/>
        </w:rPr>
        <w:t>帐号：</w:t>
      </w:r>
    </w:p>
    <w:p w14:paraId="46794E35">
      <w:pPr>
        <w:pStyle w:val="2"/>
        <w:rPr>
          <w:sz w:val="32"/>
          <w:szCs w:val="32"/>
          <w:highlight w:val="green"/>
        </w:rPr>
      </w:pPr>
      <w:bookmarkStart w:id="24" w:name="_Toc359494611"/>
      <w:bookmarkStart w:id="25" w:name="_Toc29433"/>
      <w:r>
        <w:rPr>
          <w:rFonts w:hint="eastAsia"/>
          <w:sz w:val="32"/>
          <w:szCs w:val="32"/>
        </w:rPr>
        <w:t xml:space="preserve">第五章  </w:t>
      </w:r>
      <w:bookmarkEnd w:id="24"/>
      <w:bookmarkStart w:id="26" w:name="_Toc359494612"/>
      <w:r>
        <w:rPr>
          <w:rFonts w:hint="eastAsia"/>
          <w:sz w:val="32"/>
          <w:szCs w:val="32"/>
        </w:rPr>
        <w:t>采购需求</w:t>
      </w:r>
      <w:bookmarkEnd w:id="25"/>
    </w:p>
    <w:p w14:paraId="36BA2AE9">
      <w:pPr>
        <w:pStyle w:val="7"/>
        <w:rPr>
          <w:rFonts w:ascii="宋体" w:cs="宋体"/>
          <w:bCs/>
          <w:szCs w:val="21"/>
          <w:lang w:val="zh-CN"/>
        </w:rPr>
      </w:pPr>
      <w:r>
        <w:rPr>
          <w:rFonts w:hint="eastAsia" w:ascii="宋体" w:cs="宋体"/>
          <w:bCs/>
          <w:szCs w:val="21"/>
        </w:rPr>
        <w:t>一</w:t>
      </w:r>
      <w:r>
        <w:rPr>
          <w:rFonts w:hint="eastAsia" w:ascii="宋体" w:cs="宋体"/>
          <w:bCs/>
          <w:szCs w:val="21"/>
          <w:lang w:val="zh-CN"/>
        </w:rPr>
        <w:t>、商务要求</w:t>
      </w:r>
    </w:p>
    <w:p w14:paraId="1F0CF674">
      <w:pPr>
        <w:pStyle w:val="7"/>
        <w:rPr>
          <w:rFonts w:ascii="宋体" w:cs="宋体"/>
          <w:bCs/>
          <w:szCs w:val="21"/>
          <w:lang w:val="zh-CN"/>
        </w:rPr>
      </w:pPr>
      <w:r>
        <w:rPr>
          <w:rFonts w:hint="eastAsia" w:ascii="宋体" w:cs="宋体"/>
          <w:bCs/>
          <w:szCs w:val="21"/>
          <w:lang w:val="zh-CN"/>
        </w:rPr>
        <w:t>交货时间：</w:t>
      </w:r>
      <w:r>
        <w:rPr>
          <w:rFonts w:hint="eastAsia" w:ascii="宋体" w:hAnsi="宋体" w:cs="宋体"/>
          <w:szCs w:val="21"/>
        </w:rPr>
        <w:t>合同订立后45天</w:t>
      </w:r>
    </w:p>
    <w:p w14:paraId="4F577065">
      <w:pPr>
        <w:pStyle w:val="7"/>
        <w:rPr>
          <w:rFonts w:ascii="宋体" w:cs="宋体"/>
          <w:bCs/>
          <w:szCs w:val="21"/>
          <w:lang w:val="zh-CN"/>
        </w:rPr>
      </w:pPr>
      <w:r>
        <w:rPr>
          <w:rFonts w:hint="eastAsia" w:ascii="宋体" w:cs="宋体"/>
          <w:bCs/>
          <w:szCs w:val="21"/>
          <w:lang w:val="zh-CN"/>
        </w:rPr>
        <w:t>交货地点：吉林省四平市铁东区长发路1299号吉林工程职业学院</w:t>
      </w:r>
    </w:p>
    <w:p w14:paraId="687FABA1">
      <w:pPr>
        <w:pStyle w:val="7"/>
        <w:rPr>
          <w:rFonts w:ascii="宋体" w:cs="宋体"/>
          <w:bCs/>
          <w:szCs w:val="21"/>
          <w:lang w:val="zh-CN"/>
        </w:rPr>
      </w:pPr>
      <w:r>
        <w:rPr>
          <w:rFonts w:hint="eastAsia" w:ascii="宋体" w:cs="宋体"/>
          <w:bCs/>
          <w:szCs w:val="21"/>
          <w:lang w:val="zh-CN"/>
        </w:rPr>
        <w:t>交货方式：中标人负责将货物安全完好运抵交货地点、安装调试并保证验收合格</w:t>
      </w:r>
    </w:p>
    <w:p w14:paraId="04E830A2">
      <w:pPr>
        <w:pStyle w:val="7"/>
        <w:rPr>
          <w:rFonts w:ascii="宋体" w:cs="宋体"/>
          <w:bCs/>
          <w:szCs w:val="21"/>
          <w:lang w:val="zh-CN"/>
        </w:rPr>
      </w:pPr>
      <w:r>
        <w:rPr>
          <w:rFonts w:hint="eastAsia" w:ascii="宋体" w:cs="宋体"/>
          <w:bCs/>
          <w:szCs w:val="21"/>
          <w:lang w:val="zh-CN"/>
        </w:rPr>
        <w:t>质量保证期：质保期</w:t>
      </w:r>
      <w:r>
        <w:rPr>
          <w:rFonts w:hint="eastAsia" w:ascii="宋体" w:cs="宋体"/>
          <w:bCs/>
          <w:szCs w:val="21"/>
        </w:rPr>
        <w:t>一</w:t>
      </w:r>
      <w:r>
        <w:rPr>
          <w:rFonts w:hint="eastAsia" w:ascii="宋体" w:cs="宋体"/>
          <w:bCs/>
          <w:szCs w:val="21"/>
          <w:lang w:val="zh-CN"/>
        </w:rPr>
        <w:t>年</w:t>
      </w:r>
    </w:p>
    <w:p w14:paraId="5A9E74F7">
      <w:pPr>
        <w:pStyle w:val="7"/>
        <w:numPr>
          <w:ilvl w:val="0"/>
          <w:numId w:val="3"/>
        </w:numPr>
        <w:rPr>
          <w:rFonts w:ascii="宋体" w:cs="宋体"/>
          <w:bCs/>
          <w:szCs w:val="21"/>
          <w:lang w:val="zh-CN"/>
        </w:rPr>
      </w:pPr>
      <w:r>
        <w:rPr>
          <w:rFonts w:hint="eastAsia" w:ascii="宋体" w:cs="宋体"/>
          <w:bCs/>
          <w:szCs w:val="21"/>
        </w:rPr>
        <w:t>技术</w:t>
      </w:r>
      <w:r>
        <w:rPr>
          <w:rFonts w:hint="eastAsia" w:ascii="宋体" w:cs="宋体"/>
          <w:bCs/>
          <w:szCs w:val="21"/>
          <w:lang w:val="zh-CN"/>
        </w:rPr>
        <w:t>要求</w:t>
      </w:r>
    </w:p>
    <w:tbl>
      <w:tblPr>
        <w:tblStyle w:val="21"/>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6"/>
        <w:gridCol w:w="1046"/>
        <w:gridCol w:w="6967"/>
        <w:gridCol w:w="697"/>
        <w:gridCol w:w="665"/>
      </w:tblGrid>
      <w:tr w14:paraId="2ED6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5" w:hRule="atLeast"/>
        </w:trPr>
        <w:tc>
          <w:tcPr>
            <w:tcW w:w="193" w:type="pct"/>
            <w:vAlign w:val="center"/>
          </w:tcPr>
          <w:p w14:paraId="0BFA17D4">
            <w:pPr>
              <w:pStyle w:val="80"/>
              <w:jc w:val="center"/>
              <w:rPr>
                <w:rFonts w:hint="eastAsia" w:ascii="宋体" w:hAnsi="宋体" w:cs="宋体"/>
                <w:b/>
                <w:bCs/>
                <w:lang w:val="zh-CN"/>
              </w:rPr>
            </w:pPr>
            <w:r>
              <w:rPr>
                <w:rFonts w:hint="eastAsia" w:ascii="宋体" w:hAnsi="宋体" w:cs="宋体"/>
                <w:b/>
                <w:bCs/>
                <w:lang w:val="zh-CN"/>
              </w:rPr>
              <w:t>序号</w:t>
            </w:r>
          </w:p>
        </w:tc>
        <w:tc>
          <w:tcPr>
            <w:tcW w:w="536" w:type="pct"/>
            <w:vAlign w:val="center"/>
          </w:tcPr>
          <w:p w14:paraId="1470C94E">
            <w:pPr>
              <w:pStyle w:val="80"/>
              <w:jc w:val="center"/>
              <w:rPr>
                <w:rFonts w:hint="eastAsia" w:ascii="宋体" w:hAnsi="宋体" w:cs="宋体"/>
                <w:b/>
                <w:bCs/>
                <w:lang w:val="zh-CN"/>
              </w:rPr>
            </w:pPr>
            <w:r>
              <w:rPr>
                <w:rFonts w:hint="eastAsia" w:ascii="宋体" w:hAnsi="宋体" w:cs="宋体"/>
                <w:b/>
                <w:bCs/>
                <w:lang w:val="zh-CN"/>
              </w:rPr>
              <w:t>货物名称</w:t>
            </w:r>
          </w:p>
        </w:tc>
        <w:tc>
          <w:tcPr>
            <w:tcW w:w="3571" w:type="pct"/>
            <w:vAlign w:val="center"/>
          </w:tcPr>
          <w:p w14:paraId="45E76C09">
            <w:pPr>
              <w:pStyle w:val="80"/>
              <w:jc w:val="center"/>
              <w:rPr>
                <w:rFonts w:hint="eastAsia" w:ascii="宋体" w:hAnsi="宋体" w:cs="宋体"/>
                <w:b/>
                <w:bCs/>
                <w:lang w:val="zh-CN"/>
              </w:rPr>
            </w:pPr>
            <w:r>
              <w:rPr>
                <w:rFonts w:hint="eastAsia" w:ascii="宋体" w:hAnsi="宋体" w:cs="宋体"/>
                <w:b/>
                <w:bCs/>
                <w:lang w:val="zh-CN"/>
              </w:rPr>
              <w:t>主要功能配置及技术指标要求</w:t>
            </w:r>
          </w:p>
        </w:tc>
        <w:tc>
          <w:tcPr>
            <w:tcW w:w="357" w:type="pct"/>
            <w:vAlign w:val="center"/>
          </w:tcPr>
          <w:p w14:paraId="5A285FAC">
            <w:pPr>
              <w:pStyle w:val="80"/>
              <w:jc w:val="center"/>
              <w:rPr>
                <w:rFonts w:hint="eastAsia" w:ascii="宋体" w:hAnsi="宋体" w:cs="宋体"/>
                <w:b/>
                <w:bCs/>
                <w:lang w:val="zh-CN"/>
              </w:rPr>
            </w:pPr>
            <w:r>
              <w:rPr>
                <w:rFonts w:hint="eastAsia" w:ascii="宋体" w:hAnsi="宋体" w:cs="宋体"/>
                <w:b/>
                <w:bCs/>
                <w:lang w:val="zh-CN"/>
              </w:rPr>
              <w:t>数量</w:t>
            </w:r>
          </w:p>
        </w:tc>
        <w:tc>
          <w:tcPr>
            <w:tcW w:w="341" w:type="pct"/>
          </w:tcPr>
          <w:p w14:paraId="59EB317C">
            <w:pPr>
              <w:pStyle w:val="80"/>
              <w:jc w:val="center"/>
              <w:rPr>
                <w:rFonts w:hint="eastAsia" w:ascii="宋体" w:hAnsi="宋体" w:cs="宋体"/>
                <w:b/>
                <w:bCs/>
                <w:lang w:val="zh-CN"/>
              </w:rPr>
            </w:pPr>
            <w:r>
              <w:rPr>
                <w:rFonts w:hint="eastAsia" w:ascii="宋体" w:hAnsi="宋体" w:cs="宋体"/>
                <w:b/>
                <w:bCs/>
                <w:lang w:val="zh-CN"/>
              </w:rPr>
              <w:t>数量单位</w:t>
            </w:r>
          </w:p>
        </w:tc>
      </w:tr>
      <w:tr w14:paraId="2C7FA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6" w:hRule="atLeast"/>
        </w:trPr>
        <w:tc>
          <w:tcPr>
            <w:tcW w:w="193" w:type="pct"/>
            <w:vAlign w:val="center"/>
          </w:tcPr>
          <w:p w14:paraId="6C70BD60">
            <w:pPr>
              <w:jc w:val="center"/>
              <w:rPr>
                <w:rFonts w:hint="eastAsia" w:ascii="宋体" w:hAnsi="宋体" w:cs="宋体"/>
                <w:b/>
                <w:bCs/>
                <w:szCs w:val="21"/>
              </w:rPr>
            </w:pPr>
            <w:r>
              <w:rPr>
                <w:rFonts w:hint="eastAsia" w:ascii="宋体" w:hAnsi="宋体" w:cs="宋体"/>
                <w:szCs w:val="21"/>
              </w:rPr>
              <w:t>1</w:t>
            </w:r>
          </w:p>
        </w:tc>
        <w:tc>
          <w:tcPr>
            <w:tcW w:w="536" w:type="pct"/>
            <w:vAlign w:val="center"/>
          </w:tcPr>
          <w:p w14:paraId="3C1DFA8B">
            <w:pPr>
              <w:jc w:val="center"/>
              <w:rPr>
                <w:rFonts w:hint="eastAsia" w:ascii="宋体" w:hAnsi="宋体" w:cs="宋体"/>
                <w:szCs w:val="21"/>
              </w:rPr>
            </w:pPr>
            <w:r>
              <w:rPr>
                <w:rFonts w:hint="eastAsia" w:ascii="宋体" w:hAnsi="宋体" w:cs="宋体"/>
                <w:szCs w:val="21"/>
              </w:rPr>
              <w:t>纯电动全车实训系统</w:t>
            </w:r>
          </w:p>
        </w:tc>
        <w:tc>
          <w:tcPr>
            <w:tcW w:w="3571" w:type="pct"/>
            <w:vAlign w:val="center"/>
          </w:tcPr>
          <w:p w14:paraId="65218B46">
            <w:pPr>
              <w:ind w:left="105" w:leftChars="50"/>
              <w:rPr>
                <w:rFonts w:hint="eastAsia" w:ascii="宋体" w:hAnsi="宋体" w:cs="宋体"/>
                <w:szCs w:val="21"/>
              </w:rPr>
            </w:pPr>
            <w:r>
              <w:rPr>
                <w:rFonts w:hint="eastAsia" w:ascii="宋体" w:hAnsi="宋体" w:cs="宋体"/>
                <w:szCs w:val="21"/>
              </w:rPr>
              <w:t>一、产品组成要求：</w:t>
            </w:r>
            <w:r>
              <w:rPr>
                <w:rFonts w:hint="eastAsia" w:ascii="宋体" w:hAnsi="宋体" w:cs="宋体"/>
                <w:szCs w:val="21"/>
              </w:rPr>
              <w:br w:type="textWrapping"/>
            </w:r>
            <w:r>
              <w:rPr>
                <w:rFonts w:hint="eastAsia" w:ascii="宋体" w:hAnsi="宋体" w:cs="宋体"/>
                <w:szCs w:val="21"/>
              </w:rPr>
              <w:t>整车实训系统为技术先进，搭载众多驾驶辅助系统，可以进行新能源汽车认知、操作、高压部件及结构认知、高压系统的断电/上电操作，高压系统及低压系统的数据流读取和故障诊断等教学内容。</w:t>
            </w:r>
            <w:r>
              <w:rPr>
                <w:rFonts w:hint="eastAsia" w:ascii="宋体" w:hAnsi="宋体" w:cs="宋体"/>
                <w:szCs w:val="21"/>
              </w:rPr>
              <w:br w:type="textWrapping"/>
            </w:r>
            <w:r>
              <w:rPr>
                <w:rFonts w:hint="eastAsia" w:ascii="宋体" w:hAnsi="宋体" w:cs="宋体"/>
                <w:szCs w:val="21"/>
              </w:rPr>
              <w:t>二、产品功能要求：</w:t>
            </w:r>
            <w:r>
              <w:rPr>
                <w:rFonts w:hint="eastAsia" w:ascii="宋体" w:hAnsi="宋体" w:cs="宋体"/>
                <w:szCs w:val="21"/>
              </w:rPr>
              <w:br w:type="textWrapping"/>
            </w:r>
            <w:r>
              <w:rPr>
                <w:rFonts w:hint="eastAsia" w:ascii="宋体" w:hAnsi="宋体" w:cs="宋体"/>
                <w:szCs w:val="21"/>
              </w:rPr>
              <w:t>1.车辆各种工况正常，可以启动、行驶、各系统功能操作等；能够通过原厂诊断电脑与诊断座，读取车辆信息、编码查询、读取故障代码、高压数据流、执行元件测试等测试功能，真实贴近维修一线的工作和内容。</w:t>
            </w:r>
            <w:r>
              <w:rPr>
                <w:rFonts w:hint="eastAsia" w:ascii="宋体" w:hAnsi="宋体" w:cs="宋体"/>
                <w:szCs w:val="21"/>
              </w:rPr>
              <w:br w:type="textWrapping"/>
            </w:r>
            <w:r>
              <w:rPr>
                <w:rFonts w:hint="eastAsia" w:ascii="宋体" w:hAnsi="宋体" w:cs="宋体"/>
                <w:szCs w:val="21"/>
              </w:rPr>
              <w:t>2.基于整车的高压维修可以真实反映诊断维修状态，并且标准实施诊断维修过程时需要对高压系统进行高压警示线、高压警示牌的放置，表现维修专业度和高压安全意识。</w:t>
            </w:r>
            <w:r>
              <w:rPr>
                <w:rFonts w:hint="eastAsia" w:ascii="宋体" w:hAnsi="宋体" w:cs="宋体"/>
                <w:szCs w:val="21"/>
              </w:rPr>
              <w:br w:type="textWrapping"/>
            </w:r>
            <w:r>
              <w:rPr>
                <w:rFonts w:hint="eastAsia" w:ascii="宋体" w:hAnsi="宋体" w:cs="宋体"/>
                <w:szCs w:val="21"/>
              </w:rPr>
              <w:t>三、产品规格要求：</w:t>
            </w:r>
            <w:r>
              <w:rPr>
                <w:rFonts w:hint="eastAsia" w:ascii="宋体" w:hAnsi="宋体" w:cs="宋体"/>
                <w:szCs w:val="21"/>
              </w:rPr>
              <w:br w:type="textWrapping"/>
            </w:r>
            <w:r>
              <w:rPr>
                <w:rFonts w:hint="eastAsia" w:ascii="宋体" w:hAnsi="宋体" w:cs="宋体"/>
                <w:szCs w:val="21"/>
              </w:rPr>
              <w:t>1、续航里程：≥431km；电池容量：≥54KWh；电机功率：≥140KW；最大扭矩：≥320N·m；车辆尺寸：≥5040×1910×1569mm；轴距：2990mm；电池类型：磷酸铁锂电池；电机类型：永磁同步电机。</w:t>
            </w:r>
            <w:r>
              <w:rPr>
                <w:rFonts w:hint="eastAsia" w:ascii="宋体" w:hAnsi="宋体" w:cs="宋体"/>
                <w:szCs w:val="21"/>
              </w:rPr>
              <w:br w:type="textWrapping"/>
            </w:r>
            <w:r>
              <w:rPr>
                <w:rFonts w:hint="eastAsia" w:ascii="宋体" w:hAnsi="宋体" w:cs="宋体"/>
                <w:szCs w:val="21"/>
              </w:rPr>
              <w:t>2、驾驶辅助系统：车道偏离预警系统、车保保持辅助系统、道路交通标示识别、主动刹车/主动安全系统、全速自适应巡航系统、自动驻车,远程启动功能，电池预加热，低速行车警告，电子挡把换挡等配置功能。</w:t>
            </w:r>
            <w:r>
              <w:rPr>
                <w:rFonts w:hint="eastAsia" w:ascii="宋体" w:hAnsi="宋体" w:cs="宋体"/>
                <w:szCs w:val="21"/>
              </w:rPr>
              <w:br w:type="textWrapping"/>
            </w:r>
            <w:r>
              <w:rPr>
                <w:rFonts w:hint="eastAsia" w:ascii="宋体" w:hAnsi="宋体" w:cs="宋体"/>
                <w:szCs w:val="21"/>
              </w:rPr>
              <w:t xml:space="preserve">提供实训室管理系统： </w:t>
            </w:r>
            <w:r>
              <w:rPr>
                <w:rFonts w:hint="eastAsia" w:ascii="宋体" w:hAnsi="宋体" w:cs="宋体"/>
                <w:szCs w:val="21"/>
              </w:rPr>
              <w:br w:type="textWrapping"/>
            </w:r>
            <w:r>
              <w:rPr>
                <w:rFonts w:hint="eastAsia" w:ascii="宋体" w:hAnsi="宋体" w:cs="宋体"/>
                <w:szCs w:val="21"/>
              </w:rPr>
              <w:t xml:space="preserve">1.B/S 结构，登录页面可根据学校需求定制 LOGO 等功能。 </w:t>
            </w:r>
            <w:r>
              <w:rPr>
                <w:rFonts w:hint="eastAsia" w:ascii="宋体" w:hAnsi="宋体" w:cs="宋体"/>
                <w:szCs w:val="21"/>
              </w:rPr>
              <w:br w:type="textWrapping"/>
            </w:r>
            <w:r>
              <w:rPr>
                <w:rFonts w:hint="eastAsia" w:ascii="宋体" w:hAnsi="宋体" w:cs="宋体"/>
                <w:szCs w:val="21"/>
              </w:rPr>
              <w:t xml:space="preserve">2.支持登录角色账户分权管理包含管理员、教师、学生三端、可自主注册教师及学生登录账号。（以上功能提供截图证明） </w:t>
            </w:r>
            <w:r>
              <w:rPr>
                <w:rFonts w:hint="eastAsia" w:ascii="宋体" w:hAnsi="宋体" w:cs="宋体"/>
                <w:szCs w:val="21"/>
              </w:rPr>
              <w:br w:type="textWrapping"/>
            </w:r>
            <w:r>
              <w:rPr>
                <w:rFonts w:hint="eastAsia" w:ascii="宋体" w:hAnsi="宋体" w:cs="宋体"/>
                <w:szCs w:val="21"/>
              </w:rPr>
              <w:t xml:space="preserve">3.提供用户管理模块：可针对各级用户进行增、删、改、查操作，提供用户相关信息包含权限名称、登陆账号、真实姓名、学号工号、学院、班级等信息，同时超级管理员可以进行相关权限管理。 （以上功能提供截图证明） </w:t>
            </w:r>
            <w:r>
              <w:rPr>
                <w:rFonts w:hint="eastAsia" w:ascii="宋体" w:hAnsi="宋体" w:cs="宋体"/>
                <w:szCs w:val="21"/>
              </w:rPr>
              <w:br w:type="textWrapping"/>
            </w:r>
            <w:r>
              <w:rPr>
                <w:rFonts w:hint="eastAsia" w:ascii="宋体" w:hAnsi="宋体" w:cs="宋体"/>
                <w:szCs w:val="21"/>
              </w:rPr>
              <w:t xml:space="preserve">4.提供通知管理模块：添加相关通知信息、针对通知信息进行增、删、改、查操作管理。（以上功能提供截图证明） </w:t>
            </w:r>
            <w:r>
              <w:rPr>
                <w:rFonts w:hint="eastAsia" w:ascii="宋体" w:hAnsi="宋体" w:cs="宋体"/>
                <w:szCs w:val="21"/>
              </w:rPr>
              <w:br w:type="textWrapping"/>
            </w:r>
            <w:r>
              <w:rPr>
                <w:rFonts w:hint="eastAsia" w:ascii="宋体" w:hAnsi="宋体" w:cs="宋体"/>
                <w:szCs w:val="21"/>
              </w:rPr>
              <w:t xml:space="preserve">5.提供实训管理模块：包含实训基本信息、实训大纲、实训预约、实训规章制度管理 ≥4 个子模块。基本信息包含名称、负责人、功能、地点、添加时间等，提供按名称负责人查询功能。预约模块提供预约申请及、取消预约，包含场地及设备预约功能。（以上功能提供截图证明） </w:t>
            </w:r>
            <w:r>
              <w:rPr>
                <w:rFonts w:hint="eastAsia" w:ascii="宋体" w:hAnsi="宋体" w:cs="宋体"/>
                <w:szCs w:val="21"/>
              </w:rPr>
              <w:br w:type="textWrapping"/>
            </w:r>
            <w:r>
              <w:rPr>
                <w:rFonts w:hint="eastAsia" w:ascii="宋体" w:hAnsi="宋体" w:cs="宋体"/>
                <w:szCs w:val="21"/>
              </w:rPr>
              <w:t xml:space="preserve">6.提供课程与设备管理模块：包含课程与设备详情、管理≥ 2个子模块。其中课程与设备详情可添加对应课程及设备相关信息等内容，管理可添加对应图片等说明。 （以上功能提供截图证明） </w:t>
            </w:r>
            <w:r>
              <w:rPr>
                <w:rFonts w:hint="eastAsia" w:ascii="宋体" w:hAnsi="宋体" w:cs="宋体"/>
                <w:szCs w:val="21"/>
              </w:rPr>
              <w:br w:type="textWrapping"/>
            </w:r>
            <w:r>
              <w:rPr>
                <w:rFonts w:hint="eastAsia" w:ascii="宋体" w:hAnsi="宋体" w:cs="宋体"/>
                <w:szCs w:val="21"/>
              </w:rPr>
              <w:t xml:space="preserve">7.提供设备借用管理模块：实现借用设备及归还设备管理。（以上功能提供截图证明） </w:t>
            </w:r>
            <w:r>
              <w:rPr>
                <w:rFonts w:hint="eastAsia" w:ascii="宋体" w:hAnsi="宋体" w:cs="宋体"/>
                <w:szCs w:val="21"/>
              </w:rPr>
              <w:br w:type="textWrapping"/>
            </w:r>
            <w:r>
              <w:rPr>
                <w:rFonts w:hint="eastAsia" w:ascii="宋体" w:hAnsi="宋体" w:cs="宋体"/>
                <w:szCs w:val="21"/>
              </w:rPr>
              <w:t xml:space="preserve">8.提供设备维修管理模块：提供维修管理子模块：包含设备基本信息、报修信息添加、是否维修状态管理等功能。提供报修日志管理子模块，统计维修详情、支持导出表格。（以上功能提供截图证明） </w:t>
            </w:r>
            <w:r>
              <w:rPr>
                <w:rFonts w:hint="eastAsia" w:ascii="宋体" w:hAnsi="宋体" w:cs="宋体"/>
                <w:szCs w:val="21"/>
              </w:rPr>
              <w:br w:type="textWrapping"/>
            </w:r>
            <w:r>
              <w:rPr>
                <w:rFonts w:hint="eastAsia" w:ascii="宋体" w:hAnsi="宋体" w:cs="宋体"/>
                <w:szCs w:val="21"/>
              </w:rPr>
              <w:t xml:space="preserve">9.提供报表统计功能模块：包含实训预约人统计表子模块以及借用统计表模块，提供通过名称、预约人查询功能。（以上功能提供截图证明） </w:t>
            </w:r>
            <w:r>
              <w:rPr>
                <w:rFonts w:hint="eastAsia" w:ascii="宋体" w:hAnsi="宋体" w:cs="宋体"/>
                <w:szCs w:val="21"/>
              </w:rPr>
              <w:br w:type="textWrapping"/>
            </w:r>
            <w:r>
              <w:rPr>
                <w:rFonts w:hint="eastAsia" w:ascii="宋体" w:hAnsi="宋体" w:cs="宋体"/>
                <w:szCs w:val="21"/>
              </w:rPr>
              <w:t xml:space="preserve">10.提供耗材管理列表：耗材名录、提供耗材型号、库存数量、消耗数量、消耗原因、耗材低库存量预警提示。（以上功能提供截图证明）  </w:t>
            </w:r>
          </w:p>
        </w:tc>
        <w:tc>
          <w:tcPr>
            <w:tcW w:w="357" w:type="pct"/>
            <w:vAlign w:val="center"/>
          </w:tcPr>
          <w:p w14:paraId="52E8E208">
            <w:pPr>
              <w:jc w:val="center"/>
              <w:rPr>
                <w:rFonts w:hint="eastAsia" w:ascii="宋体" w:hAnsi="宋体" w:cs="宋体"/>
                <w:szCs w:val="21"/>
              </w:rPr>
            </w:pPr>
            <w:r>
              <w:rPr>
                <w:rFonts w:hint="eastAsia" w:ascii="宋体" w:hAnsi="宋体" w:cs="宋体"/>
                <w:szCs w:val="21"/>
              </w:rPr>
              <w:t>4</w:t>
            </w:r>
          </w:p>
        </w:tc>
        <w:tc>
          <w:tcPr>
            <w:tcW w:w="341" w:type="pct"/>
            <w:vAlign w:val="center"/>
          </w:tcPr>
          <w:p w14:paraId="4B34326F">
            <w:pPr>
              <w:jc w:val="center"/>
              <w:rPr>
                <w:rFonts w:hint="eastAsia" w:ascii="宋体" w:hAnsi="宋体" w:cs="宋体"/>
                <w:szCs w:val="21"/>
              </w:rPr>
            </w:pPr>
            <w:r>
              <w:rPr>
                <w:rFonts w:hint="eastAsia" w:ascii="宋体" w:hAnsi="宋体" w:cs="宋体"/>
                <w:szCs w:val="21"/>
              </w:rPr>
              <w:t>套</w:t>
            </w:r>
          </w:p>
        </w:tc>
      </w:tr>
      <w:tr w14:paraId="3F801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8" w:hRule="atLeast"/>
        </w:trPr>
        <w:tc>
          <w:tcPr>
            <w:tcW w:w="193" w:type="pct"/>
            <w:vAlign w:val="center"/>
          </w:tcPr>
          <w:p w14:paraId="38CB82C8">
            <w:pPr>
              <w:jc w:val="center"/>
              <w:rPr>
                <w:rFonts w:hint="eastAsia" w:ascii="宋体" w:hAnsi="宋体" w:cs="宋体"/>
                <w:b/>
                <w:bCs/>
                <w:szCs w:val="21"/>
              </w:rPr>
            </w:pPr>
            <w:r>
              <w:rPr>
                <w:rFonts w:hint="eastAsia" w:ascii="宋体" w:hAnsi="宋体" w:cs="宋体"/>
                <w:szCs w:val="21"/>
              </w:rPr>
              <w:t>2</w:t>
            </w:r>
          </w:p>
        </w:tc>
        <w:tc>
          <w:tcPr>
            <w:tcW w:w="536" w:type="pct"/>
            <w:vAlign w:val="center"/>
          </w:tcPr>
          <w:p w14:paraId="726514F6">
            <w:pPr>
              <w:jc w:val="center"/>
              <w:rPr>
                <w:rFonts w:hint="eastAsia" w:ascii="宋体" w:hAnsi="宋体" w:cs="宋体"/>
                <w:szCs w:val="21"/>
              </w:rPr>
            </w:pPr>
            <w:r>
              <w:rPr>
                <w:rFonts w:hint="eastAsia" w:ascii="宋体" w:hAnsi="宋体" w:cs="宋体"/>
                <w:szCs w:val="21"/>
              </w:rPr>
              <w:t>纯电动汽车检测实训一体化智能教学平台</w:t>
            </w:r>
          </w:p>
        </w:tc>
        <w:tc>
          <w:tcPr>
            <w:tcW w:w="3571" w:type="pct"/>
            <w:vAlign w:val="center"/>
          </w:tcPr>
          <w:p w14:paraId="2AE20732">
            <w:pPr>
              <w:pStyle w:val="17"/>
              <w:shd w:val="clear" w:color="auto" w:fill="FFFFFF"/>
              <w:ind w:left="105" w:leftChars="50"/>
              <w:jc w:val="both"/>
              <w:rPr>
                <w:rFonts w:hint="eastAsia" w:ascii="宋体" w:hAnsi="宋体" w:cs="宋体"/>
                <w:kern w:val="2"/>
                <w:sz w:val="21"/>
                <w:szCs w:val="21"/>
              </w:rPr>
            </w:pPr>
            <w:r>
              <w:rPr>
                <w:rFonts w:hint="eastAsia" w:ascii="宋体" w:hAnsi="宋体" w:cs="宋体"/>
                <w:sz w:val="21"/>
                <w:szCs w:val="21"/>
              </w:rPr>
              <w:t>一、产品组成要求：</w:t>
            </w:r>
            <w:r>
              <w:rPr>
                <w:rFonts w:hint="eastAsia" w:ascii="宋体" w:hAnsi="宋体" w:cs="宋体"/>
                <w:sz w:val="21"/>
                <w:szCs w:val="21"/>
              </w:rPr>
              <w:br w:type="textWrapping"/>
            </w:r>
            <w:r>
              <w:rPr>
                <w:rFonts w:hint="eastAsia" w:ascii="宋体" w:hAnsi="宋体" w:cs="宋体"/>
                <w:sz w:val="21"/>
                <w:szCs w:val="21"/>
              </w:rPr>
              <w:t>1、该设备和一辆正常运行的纯电动轿车配合使用，在不破坏原车任意一条线束的基础上将整车转变为在线检测故障教具车，可实现实时检测与诊断原车、静态信号参数。可对控制单元主要线路进行断路、短路、虚接、交叉错接等故障，具备机械故障设置，采用原车整车控制器VCU控制单元、动力电池管理系统BMS控制单元、驱动电机控制单元、高压充配电总成控制单元、自动空调管理控制单元、BCM车身控制单元等的动、静态信号参数。机械设置系统，采用镀金U型插头，设故方法可靠。单一故障点不少于 200 个；采用以铝型材角码连接立体式结构配有ABS吸塑工艺拼接而成的可移动平台，适用于中高等职业技术院校、普通教育类学院和培训机构对纯电动整车理论和维修实训的教学需要。</w:t>
            </w:r>
            <w:r>
              <w:rPr>
                <w:rFonts w:hint="eastAsia" w:ascii="宋体" w:hAnsi="宋体" w:cs="宋体"/>
                <w:sz w:val="21"/>
                <w:szCs w:val="21"/>
              </w:rPr>
              <w:br w:type="textWrapping"/>
            </w:r>
            <w:r>
              <w:rPr>
                <w:rFonts w:hint="eastAsia" w:ascii="宋体" w:hAnsi="宋体" w:cs="宋体"/>
                <w:sz w:val="21"/>
                <w:szCs w:val="21"/>
              </w:rPr>
              <w:t>二、产品规格要求：</w:t>
            </w:r>
            <w:r>
              <w:rPr>
                <w:rFonts w:hint="eastAsia" w:ascii="宋体" w:hAnsi="宋体" w:cs="宋体"/>
                <w:sz w:val="21"/>
                <w:szCs w:val="21"/>
              </w:rPr>
              <w:br w:type="textWrapping"/>
            </w:r>
            <w:r>
              <w:rPr>
                <w:rFonts w:hint="eastAsia" w:ascii="宋体" w:hAnsi="宋体" w:cs="宋体"/>
                <w:sz w:val="21"/>
                <w:szCs w:val="21"/>
              </w:rPr>
              <w:t>1、示教板长宽高：≥1600*800*1800（mm）。</w:t>
            </w:r>
            <w:r>
              <w:rPr>
                <w:rFonts w:hint="eastAsia" w:ascii="宋体" w:hAnsi="宋体" w:cs="宋体"/>
                <w:sz w:val="21"/>
                <w:szCs w:val="21"/>
              </w:rPr>
              <w:br w:type="textWrapping"/>
            </w:r>
            <w:r>
              <w:rPr>
                <w:rFonts w:hint="eastAsia" w:ascii="宋体" w:hAnsi="宋体" w:cs="宋体"/>
                <w:sz w:val="21"/>
                <w:szCs w:val="21"/>
              </w:rPr>
              <w:t>2、专用对接线束1整套。</w:t>
            </w:r>
            <w:r>
              <w:rPr>
                <w:rFonts w:hint="eastAsia" w:ascii="宋体" w:hAnsi="宋体" w:cs="宋体"/>
                <w:sz w:val="21"/>
                <w:szCs w:val="21"/>
              </w:rPr>
              <w:br w:type="textWrapping"/>
            </w:r>
            <w:r>
              <w:rPr>
                <w:rFonts w:hint="eastAsia" w:ascii="宋体" w:hAnsi="宋体" w:cs="宋体"/>
                <w:sz w:val="21"/>
                <w:szCs w:val="21"/>
              </w:rPr>
              <w:t>3、机械设故系统1套。</w:t>
            </w:r>
            <w:r>
              <w:rPr>
                <w:rFonts w:hint="eastAsia" w:ascii="宋体" w:hAnsi="宋体" w:cs="宋体"/>
                <w:sz w:val="21"/>
                <w:szCs w:val="21"/>
              </w:rPr>
              <w:br w:type="textWrapping"/>
            </w:r>
            <w:r>
              <w:rPr>
                <w:rFonts w:hint="eastAsia" w:ascii="宋体" w:hAnsi="宋体" w:cs="宋体"/>
                <w:sz w:val="21"/>
                <w:szCs w:val="21"/>
              </w:rPr>
              <w:t>4、整车控制原理图教板1件。</w:t>
            </w:r>
            <w:r>
              <w:rPr>
                <w:rFonts w:hint="eastAsia" w:ascii="宋体" w:hAnsi="宋体" w:cs="宋体"/>
                <w:sz w:val="21"/>
                <w:szCs w:val="21"/>
              </w:rPr>
              <w:br w:type="textWrapping"/>
            </w:r>
            <w:r>
              <w:rPr>
                <w:rFonts w:hint="eastAsia" w:ascii="宋体" w:hAnsi="宋体" w:cs="宋体"/>
                <w:sz w:val="21"/>
                <w:szCs w:val="21"/>
              </w:rPr>
              <w:t>三、产品功能要求：</w:t>
            </w:r>
            <w:r>
              <w:rPr>
                <w:rFonts w:hint="eastAsia" w:ascii="宋体" w:hAnsi="宋体" w:cs="宋体"/>
                <w:sz w:val="21"/>
                <w:szCs w:val="21"/>
              </w:rPr>
              <w:br w:type="textWrapping"/>
            </w:r>
            <w:r>
              <w:rPr>
                <w:rFonts w:hint="eastAsia" w:ascii="宋体" w:hAnsi="宋体" w:cs="宋体"/>
                <w:sz w:val="21"/>
                <w:szCs w:val="21"/>
              </w:rPr>
              <w:t>1.通过专用线束与整车连接，断开专用线束后整车功能完整，保持原车所有功能及线束完整性。</w:t>
            </w:r>
            <w:r>
              <w:rPr>
                <w:rFonts w:hint="eastAsia" w:ascii="宋体" w:hAnsi="宋体" w:cs="宋体"/>
                <w:sz w:val="21"/>
                <w:szCs w:val="21"/>
              </w:rPr>
              <w:br w:type="textWrapping"/>
            </w:r>
            <w:r>
              <w:rPr>
                <w:rFonts w:hint="eastAsia" w:ascii="宋体" w:hAnsi="宋体" w:cs="宋体"/>
                <w:sz w:val="21"/>
                <w:szCs w:val="21"/>
              </w:rPr>
              <w:t>2.整车结构完整，不破坏原车任意一条线束，各控制系统、传感器、执行器齐全，可正常运行。</w:t>
            </w:r>
            <w:r>
              <w:rPr>
                <w:rFonts w:hint="eastAsia" w:ascii="宋体" w:hAnsi="宋体" w:cs="宋体"/>
                <w:sz w:val="21"/>
                <w:szCs w:val="21"/>
              </w:rPr>
              <w:br w:type="textWrapping"/>
            </w:r>
            <w:r>
              <w:rPr>
                <w:rFonts w:hint="eastAsia" w:ascii="宋体" w:hAnsi="宋体" w:cs="宋体"/>
                <w:sz w:val="21"/>
                <w:szCs w:val="21"/>
              </w:rPr>
              <w:t>3.检测与设故通过专用插接器将控制信号接回原车控制单元，整车总设故点不少于200个，插头与原车线束相同，连接线选用汽车专用电线，确保整车电路信号正常；测量面板上绘制原车控制单元管脚并装有检测2mm镀金端子，直接在端子上测量模块系统实时信号，掌握不同控制单元参数变化规律。</w:t>
            </w:r>
            <w:r>
              <w:rPr>
                <w:rFonts w:hint="eastAsia" w:ascii="宋体" w:hAnsi="宋体" w:cs="宋体"/>
                <w:sz w:val="21"/>
                <w:szCs w:val="21"/>
              </w:rPr>
              <w:br w:type="textWrapping"/>
            </w:r>
            <w:r>
              <w:rPr>
                <w:rFonts w:hint="eastAsia" w:ascii="宋体" w:hAnsi="宋体" w:cs="宋体"/>
                <w:sz w:val="21"/>
                <w:szCs w:val="21"/>
              </w:rPr>
              <w:t>4.故障设置区位于检测平台后方采用隐藏推拉门故障设置机构设计，内部安装机械故障设置系统，并配2mm专用对接线做短路等故障设置，可对控制单元主要线路进行断路、短路、虚接、交叉错接等故障。</w:t>
            </w:r>
            <w:r>
              <w:rPr>
                <w:rFonts w:hint="eastAsia" w:ascii="宋体" w:hAnsi="宋体" w:cs="宋体"/>
                <w:sz w:val="21"/>
                <w:szCs w:val="21"/>
              </w:rPr>
              <w:br w:type="textWrapping"/>
            </w:r>
            <w:r>
              <w:rPr>
                <w:rFonts w:hint="eastAsia" w:ascii="宋体" w:hAnsi="宋体" w:cs="宋体"/>
                <w:sz w:val="21"/>
                <w:szCs w:val="21"/>
              </w:rPr>
              <w:t>5.整车控制器VCU控制单元教学实训系统，可对控制单元主要线路进行断路、短路、虚接、交叉错接等故障设置和诊断。</w:t>
            </w:r>
            <w:r>
              <w:rPr>
                <w:rFonts w:hint="eastAsia" w:ascii="宋体" w:hAnsi="宋体" w:cs="宋体"/>
                <w:sz w:val="21"/>
                <w:szCs w:val="21"/>
              </w:rPr>
              <w:br w:type="textWrapping"/>
            </w:r>
            <w:r>
              <w:rPr>
                <w:rFonts w:hint="eastAsia" w:ascii="宋体" w:hAnsi="宋体" w:cs="宋体"/>
                <w:sz w:val="21"/>
                <w:szCs w:val="21"/>
              </w:rPr>
              <w:t>6.动力电池管理系统BMS控制单元教学实训系统，可对控制单元主要线路进行断路、短路、虚接、交叉错接等故障设置和诊断。</w:t>
            </w:r>
            <w:r>
              <w:rPr>
                <w:rFonts w:hint="eastAsia" w:ascii="宋体" w:hAnsi="宋体" w:cs="宋体"/>
                <w:sz w:val="21"/>
                <w:szCs w:val="21"/>
              </w:rPr>
              <w:br w:type="textWrapping"/>
            </w:r>
            <w:r>
              <w:rPr>
                <w:rFonts w:hint="eastAsia" w:ascii="宋体" w:hAnsi="宋体" w:cs="宋体"/>
                <w:sz w:val="21"/>
                <w:szCs w:val="21"/>
              </w:rPr>
              <w:t>7.驱动电机控制单元教学实训系统，可对控制单元主要线路进行断路、短路、虚接、交叉错接等故障设置和诊断。</w:t>
            </w:r>
            <w:r>
              <w:rPr>
                <w:rFonts w:hint="eastAsia" w:ascii="宋体" w:hAnsi="宋体" w:cs="宋体"/>
                <w:sz w:val="21"/>
                <w:szCs w:val="21"/>
              </w:rPr>
              <w:br w:type="textWrapping"/>
            </w:r>
            <w:r>
              <w:rPr>
                <w:rFonts w:hint="eastAsia" w:ascii="宋体" w:hAnsi="宋体" w:cs="宋体"/>
                <w:sz w:val="21"/>
                <w:szCs w:val="21"/>
              </w:rPr>
              <w:t>8.高压充配电总成控制单元教学实训系统，可对控制单元主要线路进行断路、短路、虚接、交叉错接等故障设置和诊断。</w:t>
            </w:r>
            <w:r>
              <w:rPr>
                <w:rFonts w:hint="eastAsia" w:ascii="宋体" w:hAnsi="宋体" w:cs="宋体"/>
                <w:sz w:val="21"/>
                <w:szCs w:val="21"/>
              </w:rPr>
              <w:br w:type="textWrapping"/>
            </w:r>
            <w:r>
              <w:rPr>
                <w:rFonts w:hint="eastAsia" w:ascii="宋体" w:hAnsi="宋体" w:cs="宋体"/>
                <w:sz w:val="21"/>
                <w:szCs w:val="21"/>
              </w:rPr>
              <w:t>9.自动空调管理控制单元教学实训系统，可对控制单元主要线路进行断路、短路、虚接、交叉错接等故障设置和诊断。</w:t>
            </w:r>
            <w:r>
              <w:rPr>
                <w:rFonts w:hint="eastAsia" w:ascii="宋体" w:hAnsi="宋体" w:cs="宋体"/>
                <w:sz w:val="21"/>
                <w:szCs w:val="21"/>
              </w:rPr>
              <w:br w:type="textWrapping"/>
            </w:r>
            <w:r>
              <w:rPr>
                <w:rFonts w:hint="eastAsia" w:ascii="宋体" w:hAnsi="宋体" w:cs="宋体"/>
                <w:sz w:val="21"/>
                <w:szCs w:val="21"/>
              </w:rPr>
              <w:t>10.BCM车身电脑控制单元教学实训系统，可检测信号含照明系统，门锁系统，低压配电，通信和地线等，可对控制单元主要线路进行断路、短路、虚接、交叉错接等故障设置和诊断。</w:t>
            </w:r>
            <w:r>
              <w:rPr>
                <w:rFonts w:hint="eastAsia" w:ascii="宋体" w:hAnsi="宋体" w:cs="宋体"/>
                <w:sz w:val="21"/>
                <w:szCs w:val="21"/>
              </w:rPr>
              <w:br w:type="textWrapping"/>
            </w:r>
            <w:r>
              <w:rPr>
                <w:rFonts w:hint="eastAsia" w:ascii="宋体" w:hAnsi="宋体" w:cs="宋体"/>
                <w:sz w:val="21"/>
                <w:szCs w:val="21"/>
              </w:rPr>
              <w:t>11.另配电子版原车电路图及实训指导说明书，指导故障设置和排除。</w:t>
            </w:r>
            <w:r>
              <w:rPr>
                <w:rFonts w:hint="eastAsia" w:ascii="宋体" w:hAnsi="宋体" w:cs="宋体"/>
                <w:sz w:val="21"/>
                <w:szCs w:val="21"/>
              </w:rPr>
              <w:br w:type="textWrapping"/>
            </w:r>
            <w:r>
              <w:rPr>
                <w:rFonts w:hint="eastAsia" w:ascii="宋体" w:hAnsi="宋体" w:cs="宋体"/>
                <w:sz w:val="21"/>
                <w:szCs w:val="21"/>
              </w:rPr>
              <w:t>12.检测面板采用4mm厚耐腐蚀、耐创击、耐污染、防火、防潮的高级铝塑板，表面经特殊工艺喷涂底漆处理；面板打印有永不褪色的彩色控制单元插头插座端子图；并安装2mm镀金检测端子，学员可通过对照原车电路图和原车实物，测量和分析各控制系统的工作原理和信号传输过程。</w:t>
            </w:r>
            <w:r>
              <w:rPr>
                <w:rFonts w:hint="eastAsia" w:ascii="宋体" w:hAnsi="宋体" w:cs="宋体"/>
                <w:sz w:val="21"/>
                <w:szCs w:val="21"/>
              </w:rPr>
              <w:br w:type="textWrapping"/>
            </w:r>
            <w:r>
              <w:rPr>
                <w:rFonts w:hint="eastAsia" w:ascii="宋体" w:hAnsi="宋体" w:cs="宋体"/>
                <w:sz w:val="21"/>
                <w:szCs w:val="21"/>
              </w:rPr>
              <w:t>四、产品工艺要求：</w:t>
            </w:r>
            <w:r>
              <w:rPr>
                <w:rFonts w:hint="eastAsia" w:ascii="宋体" w:hAnsi="宋体" w:cs="宋体"/>
                <w:sz w:val="21"/>
                <w:szCs w:val="21"/>
              </w:rPr>
              <w:br w:type="textWrapping"/>
            </w:r>
            <w:r>
              <w:rPr>
                <w:rFonts w:hint="eastAsia" w:ascii="宋体" w:hAnsi="宋体" w:cs="宋体"/>
                <w:sz w:val="21"/>
                <w:szCs w:val="21"/>
              </w:rPr>
              <w:t>1、实训考核系统整体结构美观大方，耐油耐腐蚀，便于清洁。操作面板、立柱、底座采用模块化设计，模具一体成型高强度ABS吸塑外观，内部铝型材框架支撑坚固耐用，电子原器件接线位于立柱等封闭空间内，整机具备安全性与可靠性。整体台架采用哑光黑色3mm厚ABS吸塑包裹工艺结构美观大方、有足够的机械强度，整体宽760mm高1800mm长度可随实际使用需求调整，吸塑R角处可一保证最小厚度大于2mm。整体台架由4部分组成，包含2个侧面3mmABS吸塑罩盖、2个脚轮架罩盖3mmABS吸塑罩盖。</w:t>
            </w:r>
            <w:r>
              <w:rPr>
                <w:rFonts w:hint="eastAsia" w:ascii="宋体" w:hAnsi="宋体" w:cs="宋体"/>
                <w:sz w:val="21"/>
                <w:szCs w:val="21"/>
              </w:rPr>
              <w:br w:type="textWrapping"/>
            </w:r>
            <w:r>
              <w:rPr>
                <w:rFonts w:hint="eastAsia" w:ascii="宋体" w:hAnsi="宋体" w:cs="宋体"/>
                <w:sz w:val="21"/>
                <w:szCs w:val="21"/>
              </w:rPr>
              <w:t>2、台架侧面使用哑光黑色3mm厚ABS吸塑包裹工艺结构，长185mm宽50mm高1710mm边角R最小10mm拔模角度3°，吸塑采用三面折弯工艺，侧罩盖板上配置8个螺丝安装孔用于配合可调节折弯钢框架，侧面设有一字型流线凹槽增加机械强度，中下部设有三个渐变形式一字型凹槽安装ABS装饰条。</w:t>
            </w:r>
            <w:r>
              <w:rPr>
                <w:rFonts w:hint="eastAsia" w:ascii="宋体" w:hAnsi="宋体" w:cs="宋体"/>
                <w:sz w:val="21"/>
                <w:szCs w:val="21"/>
              </w:rPr>
              <w:br w:type="textWrapping"/>
            </w:r>
            <w:r>
              <w:rPr>
                <w:rFonts w:hint="eastAsia" w:ascii="宋体" w:hAnsi="宋体" w:cs="宋体"/>
                <w:sz w:val="21"/>
                <w:szCs w:val="21"/>
              </w:rPr>
              <w:t>3、台架可移动脚轮支架上使用哑光黑色3mm厚ABS吸塑包裹工艺结构，长185mm宽50mm高1710mm边角R最小10mm拔模角度3°，罩盖上配置4个固定安装孔用于和超强钢板的脚轮支架连接，罩盖上中间位置设有宽50mm长185mm的台架侧面ABS吸塑罩盖，两端设有8mm深一字型流线凹槽配置ABS装饰盖。</w:t>
            </w:r>
            <w:r>
              <w:rPr>
                <w:rFonts w:hint="eastAsia" w:ascii="宋体" w:hAnsi="宋体" w:cs="宋体"/>
                <w:sz w:val="21"/>
                <w:szCs w:val="21"/>
              </w:rPr>
              <w:br w:type="textWrapping"/>
            </w:r>
            <w:r>
              <w:rPr>
                <w:rFonts w:hint="eastAsia" w:ascii="宋体" w:hAnsi="宋体" w:cs="宋体"/>
                <w:sz w:val="21"/>
                <w:szCs w:val="21"/>
              </w:rPr>
              <w:t>4、检测实训控制板配备一体式工作台板采用定制优质高密度板封边加工处理，颜色呼应整体台架色调一致美观实用。</w:t>
            </w:r>
            <w:r>
              <w:rPr>
                <w:rFonts w:hint="eastAsia" w:ascii="宋体" w:hAnsi="宋体" w:cs="宋体"/>
                <w:sz w:val="21"/>
                <w:szCs w:val="21"/>
              </w:rPr>
              <w:br w:type="textWrapping"/>
            </w:r>
            <w:r>
              <w:rPr>
                <w:rFonts w:hint="eastAsia" w:ascii="宋体" w:hAnsi="宋体" w:cs="宋体"/>
                <w:sz w:val="21"/>
                <w:szCs w:val="21"/>
              </w:rPr>
              <w:t>五、教学及实习项目：</w:t>
            </w:r>
            <w:r>
              <w:rPr>
                <w:rFonts w:hint="eastAsia" w:ascii="宋体" w:hAnsi="宋体" w:cs="宋体"/>
                <w:sz w:val="21"/>
                <w:szCs w:val="21"/>
              </w:rPr>
              <w:br w:type="textWrapping"/>
            </w:r>
            <w:r>
              <w:rPr>
                <w:rFonts w:hint="eastAsia" w:ascii="宋体" w:hAnsi="宋体" w:cs="宋体"/>
                <w:sz w:val="21"/>
                <w:szCs w:val="21"/>
              </w:rPr>
              <w:t>1、了解新能源整车的基本结构和工作原理。</w:t>
            </w:r>
            <w:r>
              <w:rPr>
                <w:rFonts w:hint="eastAsia" w:ascii="宋体" w:hAnsi="宋体" w:cs="宋体"/>
                <w:sz w:val="21"/>
                <w:szCs w:val="21"/>
              </w:rPr>
              <w:br w:type="textWrapping"/>
            </w:r>
            <w:r>
              <w:rPr>
                <w:rFonts w:hint="eastAsia" w:ascii="宋体" w:hAnsi="宋体" w:cs="宋体"/>
                <w:sz w:val="21"/>
                <w:szCs w:val="21"/>
              </w:rPr>
              <w:t>2、熟悉新能源汽车的分类和技术特点。</w:t>
            </w:r>
            <w:r>
              <w:rPr>
                <w:rFonts w:hint="eastAsia" w:ascii="宋体" w:hAnsi="宋体" w:cs="宋体"/>
                <w:sz w:val="21"/>
                <w:szCs w:val="21"/>
              </w:rPr>
              <w:br w:type="textWrapping"/>
            </w:r>
            <w:r>
              <w:rPr>
                <w:rFonts w:hint="eastAsia" w:ascii="宋体" w:hAnsi="宋体" w:cs="宋体"/>
                <w:sz w:val="21"/>
                <w:szCs w:val="21"/>
              </w:rPr>
              <w:t>3、了新能源汽车高压控制系统组成与结构原理。</w:t>
            </w:r>
            <w:r>
              <w:rPr>
                <w:rFonts w:hint="eastAsia" w:ascii="宋体" w:hAnsi="宋体" w:cs="宋体"/>
                <w:sz w:val="21"/>
                <w:szCs w:val="21"/>
              </w:rPr>
              <w:br w:type="textWrapping"/>
            </w:r>
            <w:r>
              <w:rPr>
                <w:rFonts w:hint="eastAsia" w:ascii="宋体" w:hAnsi="宋体" w:cs="宋体"/>
                <w:sz w:val="21"/>
                <w:szCs w:val="21"/>
              </w:rPr>
              <w:t>4、掌握电池管理系统上下电等配电策略及诊断。</w:t>
            </w:r>
            <w:r>
              <w:rPr>
                <w:rFonts w:hint="eastAsia" w:ascii="宋体" w:hAnsi="宋体" w:cs="宋体"/>
                <w:sz w:val="21"/>
                <w:szCs w:val="21"/>
              </w:rPr>
              <w:br w:type="textWrapping"/>
            </w:r>
            <w:r>
              <w:rPr>
                <w:rFonts w:hint="eastAsia" w:ascii="宋体" w:hAnsi="宋体" w:cs="宋体"/>
                <w:sz w:val="21"/>
                <w:szCs w:val="21"/>
              </w:rPr>
              <w:t>5、纯电动汽车驱动电机控制器构造组成分析学习。</w:t>
            </w:r>
            <w:r>
              <w:rPr>
                <w:rFonts w:hint="eastAsia" w:ascii="宋体" w:hAnsi="宋体" w:cs="宋体"/>
                <w:sz w:val="21"/>
                <w:szCs w:val="21"/>
              </w:rPr>
              <w:br w:type="textWrapping"/>
            </w:r>
            <w:r>
              <w:rPr>
                <w:rFonts w:hint="eastAsia" w:ascii="宋体" w:hAnsi="宋体" w:cs="宋体"/>
                <w:sz w:val="21"/>
                <w:szCs w:val="21"/>
              </w:rPr>
              <w:t>6、新能源汽车电机、电池、控制器技术之间的控制关系。</w:t>
            </w:r>
          </w:p>
        </w:tc>
        <w:tc>
          <w:tcPr>
            <w:tcW w:w="357" w:type="pct"/>
            <w:vAlign w:val="center"/>
          </w:tcPr>
          <w:p w14:paraId="3C3ADD4F">
            <w:pPr>
              <w:jc w:val="center"/>
              <w:rPr>
                <w:rFonts w:hint="eastAsia" w:ascii="宋体" w:hAnsi="宋体" w:cs="宋体"/>
                <w:szCs w:val="21"/>
              </w:rPr>
            </w:pPr>
            <w:r>
              <w:rPr>
                <w:rFonts w:hint="eastAsia" w:ascii="宋体" w:hAnsi="宋体" w:cs="宋体"/>
                <w:szCs w:val="21"/>
              </w:rPr>
              <w:t>4</w:t>
            </w:r>
          </w:p>
        </w:tc>
        <w:tc>
          <w:tcPr>
            <w:tcW w:w="341" w:type="pct"/>
            <w:vAlign w:val="center"/>
          </w:tcPr>
          <w:p w14:paraId="3948F8DD">
            <w:pPr>
              <w:jc w:val="center"/>
              <w:rPr>
                <w:rFonts w:hint="eastAsia" w:ascii="宋体" w:hAnsi="宋体" w:cs="宋体"/>
                <w:szCs w:val="21"/>
              </w:rPr>
            </w:pPr>
            <w:r>
              <w:rPr>
                <w:rFonts w:hint="eastAsia" w:ascii="宋体" w:hAnsi="宋体" w:cs="宋体"/>
                <w:szCs w:val="21"/>
              </w:rPr>
              <w:t>套</w:t>
            </w:r>
          </w:p>
        </w:tc>
      </w:tr>
      <w:tr w14:paraId="29F0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8" w:hRule="atLeast"/>
        </w:trPr>
        <w:tc>
          <w:tcPr>
            <w:tcW w:w="193" w:type="pct"/>
            <w:vAlign w:val="center"/>
          </w:tcPr>
          <w:p w14:paraId="2FD7A336">
            <w:pPr>
              <w:jc w:val="center"/>
              <w:rPr>
                <w:rFonts w:hint="eastAsia" w:ascii="宋体" w:hAnsi="宋体" w:cs="宋体"/>
                <w:b/>
                <w:bCs/>
                <w:szCs w:val="21"/>
              </w:rPr>
            </w:pPr>
            <w:r>
              <w:rPr>
                <w:rFonts w:hint="eastAsia" w:ascii="宋体" w:hAnsi="宋体" w:cs="宋体"/>
                <w:szCs w:val="21"/>
              </w:rPr>
              <w:t>3</w:t>
            </w:r>
          </w:p>
        </w:tc>
        <w:tc>
          <w:tcPr>
            <w:tcW w:w="536" w:type="pct"/>
            <w:vAlign w:val="center"/>
          </w:tcPr>
          <w:p w14:paraId="7E9D1978">
            <w:pPr>
              <w:jc w:val="center"/>
              <w:rPr>
                <w:rFonts w:hint="eastAsia" w:ascii="宋体" w:hAnsi="宋体" w:cs="宋体"/>
                <w:szCs w:val="21"/>
              </w:rPr>
            </w:pPr>
            <w:r>
              <w:rPr>
                <w:rFonts w:hint="eastAsia" w:ascii="宋体" w:hAnsi="宋体" w:cs="宋体"/>
                <w:szCs w:val="21"/>
              </w:rPr>
              <w:t>豪华型改装整车教学实训系统</w:t>
            </w:r>
          </w:p>
        </w:tc>
        <w:tc>
          <w:tcPr>
            <w:tcW w:w="3571" w:type="pct"/>
            <w:vAlign w:val="center"/>
          </w:tcPr>
          <w:p w14:paraId="6BE6FC0A">
            <w:pPr>
              <w:ind w:left="105" w:leftChars="50"/>
              <w:rPr>
                <w:rFonts w:hint="eastAsia" w:ascii="宋体" w:hAnsi="宋体" w:cs="宋体"/>
                <w:szCs w:val="21"/>
              </w:rPr>
            </w:pPr>
            <w:r>
              <w:rPr>
                <w:rFonts w:hint="eastAsia" w:ascii="宋体" w:hAnsi="宋体" w:cs="宋体"/>
                <w:szCs w:val="21"/>
              </w:rPr>
              <w:t xml:space="preserve">一、实训平台功能 </w:t>
            </w:r>
            <w:r>
              <w:rPr>
                <w:rFonts w:hint="eastAsia" w:ascii="宋体" w:hAnsi="宋体" w:cs="宋体"/>
                <w:szCs w:val="21"/>
              </w:rPr>
              <w:br w:type="textWrapping"/>
            </w:r>
            <w:r>
              <w:rPr>
                <w:rFonts w:hint="eastAsia" w:ascii="宋体" w:hAnsi="宋体" w:cs="宋体"/>
                <w:szCs w:val="21"/>
              </w:rPr>
              <w:t>车辆为原厂新车，整车参数配置：</w:t>
            </w:r>
            <w:r>
              <w:rPr>
                <w:rFonts w:hint="eastAsia" w:ascii="宋体" w:hAnsi="宋体" w:cs="宋体"/>
                <w:szCs w:val="21"/>
              </w:rPr>
              <w:br w:type="textWrapping"/>
            </w:r>
            <w:r>
              <w:rPr>
                <w:rFonts w:hint="eastAsia" w:ascii="宋体" w:hAnsi="宋体" w:cs="宋体"/>
                <w:szCs w:val="21"/>
              </w:rPr>
              <w:t>发动机</w:t>
            </w:r>
            <w:r>
              <w:rPr>
                <w:rFonts w:hint="eastAsia" w:ascii="宋体" w:hAnsi="宋体" w:cs="宋体"/>
                <w:szCs w:val="21"/>
              </w:rPr>
              <w:br w:type="textWrapping"/>
            </w:r>
            <w:r>
              <w:rPr>
                <w:rFonts w:hint="eastAsia" w:ascii="宋体" w:hAnsi="宋体" w:cs="宋体"/>
                <w:szCs w:val="21"/>
              </w:rPr>
              <w:t>排量：1980（ml）-2100（ml）</w:t>
            </w:r>
            <w:r>
              <w:rPr>
                <w:rFonts w:hint="eastAsia" w:ascii="宋体" w:hAnsi="宋体" w:cs="宋体"/>
                <w:szCs w:val="21"/>
              </w:rPr>
              <w:br w:type="textWrapping"/>
            </w:r>
            <w:r>
              <w:rPr>
                <w:rFonts w:hint="eastAsia" w:ascii="宋体" w:hAnsi="宋体" w:cs="宋体"/>
                <w:szCs w:val="21"/>
              </w:rPr>
              <w:t>气缸排列形式：L</w:t>
            </w:r>
            <w:r>
              <w:rPr>
                <w:rFonts w:hint="eastAsia" w:ascii="宋体" w:hAnsi="宋体" w:cs="宋体"/>
                <w:szCs w:val="21"/>
              </w:rPr>
              <w:br w:type="textWrapping"/>
            </w:r>
            <w:r>
              <w:rPr>
                <w:rFonts w:hint="eastAsia" w:ascii="宋体" w:hAnsi="宋体" w:cs="宋体"/>
                <w:szCs w:val="21"/>
              </w:rPr>
              <w:t>最大马力：≥215 ps</w:t>
            </w:r>
            <w:r>
              <w:rPr>
                <w:rFonts w:hint="eastAsia" w:ascii="宋体" w:hAnsi="宋体" w:cs="宋体"/>
                <w:szCs w:val="21"/>
              </w:rPr>
              <w:br w:type="textWrapping"/>
            </w:r>
            <w:r>
              <w:rPr>
                <w:rFonts w:hint="eastAsia" w:ascii="宋体" w:hAnsi="宋体" w:cs="宋体"/>
                <w:szCs w:val="21"/>
              </w:rPr>
              <w:t xml:space="preserve">最大功率：≥160 KW </w:t>
            </w:r>
            <w:r>
              <w:rPr>
                <w:rFonts w:hint="eastAsia" w:ascii="宋体" w:hAnsi="宋体" w:cs="宋体"/>
                <w:szCs w:val="21"/>
              </w:rPr>
              <w:br w:type="textWrapping"/>
            </w:r>
            <w:r>
              <w:rPr>
                <w:rFonts w:hint="eastAsia" w:ascii="宋体" w:hAnsi="宋体" w:cs="宋体"/>
                <w:szCs w:val="21"/>
              </w:rPr>
              <w:t>最大功率转速：4500-6200  rpm</w:t>
            </w:r>
            <w:r>
              <w:rPr>
                <w:rFonts w:hint="eastAsia" w:ascii="宋体" w:hAnsi="宋体" w:cs="宋体"/>
                <w:szCs w:val="21"/>
              </w:rPr>
              <w:br w:type="textWrapping"/>
            </w:r>
            <w:r>
              <w:rPr>
                <w:rFonts w:hint="eastAsia" w:ascii="宋体" w:hAnsi="宋体" w:cs="宋体"/>
                <w:szCs w:val="21"/>
              </w:rPr>
              <w:t>最大扭距：≥345  N.m</w:t>
            </w:r>
            <w:r>
              <w:rPr>
                <w:rFonts w:hint="eastAsia" w:ascii="宋体" w:hAnsi="宋体" w:cs="宋体"/>
                <w:szCs w:val="21"/>
              </w:rPr>
              <w:br w:type="textWrapping"/>
            </w:r>
            <w:r>
              <w:rPr>
                <w:rFonts w:hint="eastAsia" w:ascii="宋体" w:hAnsi="宋体" w:cs="宋体"/>
                <w:szCs w:val="21"/>
              </w:rPr>
              <w:t>最大扭矩转速：1500-4400  rpm</w:t>
            </w:r>
            <w:r>
              <w:rPr>
                <w:rFonts w:hint="eastAsia" w:ascii="宋体" w:hAnsi="宋体" w:cs="宋体"/>
                <w:szCs w:val="21"/>
              </w:rPr>
              <w:br w:type="textWrapping"/>
            </w:r>
            <w:r>
              <w:rPr>
                <w:rFonts w:hint="eastAsia" w:ascii="宋体" w:hAnsi="宋体" w:cs="宋体"/>
                <w:szCs w:val="21"/>
              </w:rPr>
              <w:t>变速箱</w:t>
            </w:r>
            <w:r>
              <w:rPr>
                <w:rFonts w:hint="eastAsia" w:ascii="宋体" w:hAnsi="宋体" w:cs="宋体"/>
                <w:szCs w:val="21"/>
              </w:rPr>
              <w:br w:type="textWrapping"/>
            </w:r>
            <w:r>
              <w:rPr>
                <w:rFonts w:hint="eastAsia" w:ascii="宋体" w:hAnsi="宋体" w:cs="宋体"/>
                <w:szCs w:val="21"/>
              </w:rPr>
              <w:t>档位个数： 7-9</w:t>
            </w:r>
            <w:r>
              <w:rPr>
                <w:rFonts w:hint="eastAsia" w:ascii="宋体" w:hAnsi="宋体" w:cs="宋体"/>
                <w:szCs w:val="21"/>
              </w:rPr>
              <w:br w:type="textWrapping"/>
            </w:r>
            <w:r>
              <w:rPr>
                <w:rFonts w:hint="eastAsia" w:ascii="宋体" w:hAnsi="宋体" w:cs="宋体"/>
                <w:szCs w:val="21"/>
              </w:rPr>
              <w:t>变速箱类型：双离合变速箱（DCT）</w:t>
            </w:r>
            <w:r>
              <w:rPr>
                <w:rFonts w:hint="eastAsia" w:ascii="宋体" w:hAnsi="宋体" w:cs="宋体"/>
                <w:szCs w:val="21"/>
              </w:rPr>
              <w:br w:type="textWrapping"/>
            </w:r>
            <w:r>
              <w:rPr>
                <w:rFonts w:hint="eastAsia" w:ascii="宋体" w:hAnsi="宋体" w:cs="宋体"/>
                <w:szCs w:val="21"/>
              </w:rPr>
              <w:t>底盘转向</w:t>
            </w:r>
            <w:r>
              <w:rPr>
                <w:rFonts w:hint="eastAsia" w:ascii="宋体" w:hAnsi="宋体" w:cs="宋体"/>
                <w:szCs w:val="21"/>
              </w:rPr>
              <w:br w:type="textWrapping"/>
            </w:r>
            <w:r>
              <w:rPr>
                <w:rFonts w:hint="eastAsia" w:ascii="宋体" w:hAnsi="宋体" w:cs="宋体"/>
                <w:szCs w:val="21"/>
              </w:rPr>
              <w:t>驱动方式：前置前驱</w:t>
            </w:r>
            <w:r>
              <w:rPr>
                <w:rFonts w:hint="eastAsia" w:ascii="宋体" w:hAnsi="宋体" w:cs="宋体"/>
                <w:szCs w:val="21"/>
              </w:rPr>
              <w:br w:type="textWrapping"/>
            </w:r>
            <w:r>
              <w:rPr>
                <w:rFonts w:hint="eastAsia" w:ascii="宋体" w:hAnsi="宋体" w:cs="宋体"/>
                <w:szCs w:val="21"/>
              </w:rPr>
              <w:t>前悬架类型：麦弗逊式独立悬架</w:t>
            </w:r>
            <w:r>
              <w:rPr>
                <w:rFonts w:hint="eastAsia" w:ascii="宋体" w:hAnsi="宋体" w:cs="宋体"/>
                <w:szCs w:val="21"/>
              </w:rPr>
              <w:br w:type="textWrapping"/>
            </w:r>
            <w:r>
              <w:rPr>
                <w:rFonts w:hint="eastAsia" w:ascii="宋体" w:hAnsi="宋体" w:cs="宋体"/>
                <w:szCs w:val="21"/>
              </w:rPr>
              <w:t>后悬架类型：多连杆式独立悬架</w:t>
            </w:r>
            <w:r>
              <w:rPr>
                <w:rFonts w:hint="eastAsia" w:ascii="宋体" w:hAnsi="宋体" w:cs="宋体"/>
                <w:szCs w:val="21"/>
              </w:rPr>
              <w:br w:type="textWrapping"/>
            </w:r>
            <w:r>
              <w:rPr>
                <w:rFonts w:hint="eastAsia" w:ascii="宋体" w:hAnsi="宋体" w:cs="宋体"/>
                <w:szCs w:val="21"/>
              </w:rPr>
              <w:t>助力类型：电动助力</w:t>
            </w:r>
            <w:r>
              <w:rPr>
                <w:rFonts w:hint="eastAsia" w:ascii="宋体" w:hAnsi="宋体" w:cs="宋体"/>
                <w:szCs w:val="21"/>
              </w:rPr>
              <w:br w:type="textWrapping"/>
            </w:r>
            <w:r>
              <w:rPr>
                <w:rFonts w:hint="eastAsia" w:ascii="宋体" w:hAnsi="宋体" w:cs="宋体"/>
                <w:szCs w:val="21"/>
              </w:rPr>
              <w:t>车身</w:t>
            </w:r>
            <w:r>
              <w:rPr>
                <w:rFonts w:hint="eastAsia" w:ascii="宋体" w:hAnsi="宋体" w:cs="宋体"/>
                <w:szCs w:val="21"/>
              </w:rPr>
              <w:br w:type="textWrapping"/>
            </w:r>
            <w:r>
              <w:rPr>
                <w:rFonts w:hint="eastAsia" w:ascii="宋体" w:hAnsi="宋体" w:cs="宋体"/>
                <w:szCs w:val="21"/>
              </w:rPr>
              <w:t>长*宽*高：长（4680mm-4690mm）*宽（1830mm-1900mm）*高（1470mm-1475mm）</w:t>
            </w:r>
            <w:r>
              <w:rPr>
                <w:rFonts w:hint="eastAsia" w:ascii="宋体" w:hAnsi="宋体" w:cs="宋体"/>
                <w:szCs w:val="21"/>
              </w:rPr>
              <w:br w:type="textWrapping"/>
            </w:r>
            <w:r>
              <w:rPr>
                <w:rFonts w:hint="eastAsia" w:ascii="宋体" w:hAnsi="宋体" w:cs="宋体"/>
                <w:szCs w:val="21"/>
              </w:rPr>
              <w:t>4门5座三厢车</w:t>
            </w:r>
            <w:r>
              <w:rPr>
                <w:rFonts w:hint="eastAsia" w:ascii="宋体" w:hAnsi="宋体" w:cs="宋体"/>
                <w:szCs w:val="21"/>
              </w:rPr>
              <w:br w:type="textWrapping"/>
            </w:r>
            <w:r>
              <w:rPr>
                <w:rFonts w:hint="eastAsia" w:ascii="宋体" w:hAnsi="宋体" w:cs="宋体"/>
                <w:szCs w:val="21"/>
              </w:rPr>
              <w:t>前轮胎规格：215/55R 17</w:t>
            </w:r>
            <w:r>
              <w:rPr>
                <w:rFonts w:hint="eastAsia" w:ascii="宋体" w:hAnsi="宋体" w:cs="宋体"/>
                <w:szCs w:val="21"/>
              </w:rPr>
              <w:br w:type="textWrapping"/>
            </w:r>
            <w:r>
              <w:rPr>
                <w:rFonts w:hint="eastAsia" w:ascii="宋体" w:hAnsi="宋体" w:cs="宋体"/>
                <w:szCs w:val="21"/>
              </w:rPr>
              <w:t>后轮胎规格：215/55R 17</w:t>
            </w:r>
            <w:r>
              <w:rPr>
                <w:rFonts w:hint="eastAsia" w:ascii="宋体" w:hAnsi="宋体" w:cs="宋体"/>
                <w:szCs w:val="21"/>
              </w:rPr>
              <w:br w:type="textWrapping"/>
            </w:r>
            <w:r>
              <w:rPr>
                <w:rFonts w:hint="eastAsia" w:ascii="宋体" w:hAnsi="宋体" w:cs="宋体"/>
                <w:szCs w:val="21"/>
              </w:rPr>
              <w:t>其他配置：前盘制动器通风盘式，后制动器类型盘式，胎压报警，驻车雷达，全速自适应巡航，电动车窗，遥控钥匙等。</w:t>
            </w:r>
            <w:r>
              <w:rPr>
                <w:rFonts w:hint="eastAsia" w:ascii="宋体" w:hAnsi="宋体" w:cs="宋体"/>
                <w:szCs w:val="21"/>
              </w:rPr>
              <w:br w:type="textWrapping"/>
            </w:r>
            <w:r>
              <w:rPr>
                <w:rFonts w:hint="eastAsia" w:ascii="宋体" w:hAnsi="宋体" w:cs="宋体"/>
                <w:szCs w:val="21"/>
              </w:rPr>
              <w:t>二、整车基于课程中的案例模块对完整车辆进行学习。包括真实车辆中的保养维修流程的再次训练，满足四轮定位、保养和检修等操作，通过对整车的再次学习可以满足学生对整车进行观摩学习的机会，通过对车辆的相关内容的熟悉，再对整车上相关系统进行重复训练可以达到一汽-大众要求的技师等级要求，并且可以完成车辆上所有内容再现和学习，再现维修一线的工作场景。通过整车的学习可完善课程体系，学生能够体会整车的教学信息和保养、检修训练。并且可以用于销售、售后、技术三个专业的技术培训，通过学习可以训练相关话术和流程的训练。安全工艺标准 ，车辆各种工况正常，可以启动、行驶、各系统功能操作等；能够通过原厂诊断电脑与诊断座，读取车辆信息、编码查询、读取故障代码、数据流、执行元件测试等等测试功能。</w:t>
            </w:r>
          </w:p>
        </w:tc>
        <w:tc>
          <w:tcPr>
            <w:tcW w:w="357" w:type="pct"/>
            <w:vAlign w:val="center"/>
          </w:tcPr>
          <w:p w14:paraId="175FF7C2">
            <w:pPr>
              <w:jc w:val="center"/>
              <w:rPr>
                <w:rFonts w:hint="eastAsia" w:ascii="宋体" w:hAnsi="宋体" w:cs="宋体"/>
                <w:szCs w:val="21"/>
              </w:rPr>
            </w:pPr>
            <w:r>
              <w:rPr>
                <w:rFonts w:hint="eastAsia" w:ascii="宋体" w:hAnsi="宋体" w:cs="宋体"/>
                <w:szCs w:val="21"/>
              </w:rPr>
              <w:t>1</w:t>
            </w:r>
          </w:p>
        </w:tc>
        <w:tc>
          <w:tcPr>
            <w:tcW w:w="341" w:type="pct"/>
            <w:vAlign w:val="center"/>
          </w:tcPr>
          <w:p w14:paraId="57B08526">
            <w:pPr>
              <w:jc w:val="center"/>
              <w:rPr>
                <w:rFonts w:hint="eastAsia" w:ascii="宋体" w:hAnsi="宋体" w:cs="宋体"/>
                <w:szCs w:val="21"/>
              </w:rPr>
            </w:pPr>
            <w:r>
              <w:rPr>
                <w:rFonts w:hint="eastAsia" w:ascii="宋体" w:hAnsi="宋体" w:cs="宋体"/>
                <w:szCs w:val="21"/>
              </w:rPr>
              <w:t>套</w:t>
            </w:r>
          </w:p>
        </w:tc>
      </w:tr>
      <w:tr w14:paraId="7CA3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3" w:hRule="atLeast"/>
        </w:trPr>
        <w:tc>
          <w:tcPr>
            <w:tcW w:w="193" w:type="pct"/>
            <w:vAlign w:val="center"/>
          </w:tcPr>
          <w:p w14:paraId="18111A55">
            <w:pPr>
              <w:jc w:val="center"/>
              <w:rPr>
                <w:rFonts w:hint="eastAsia" w:ascii="宋体" w:hAnsi="宋体" w:cs="宋体"/>
                <w:b/>
                <w:bCs/>
                <w:szCs w:val="21"/>
              </w:rPr>
            </w:pPr>
            <w:r>
              <w:rPr>
                <w:rFonts w:hint="eastAsia" w:ascii="宋体" w:hAnsi="宋体" w:cs="宋体"/>
                <w:szCs w:val="21"/>
              </w:rPr>
              <w:t>4</w:t>
            </w:r>
          </w:p>
        </w:tc>
        <w:tc>
          <w:tcPr>
            <w:tcW w:w="536" w:type="pct"/>
            <w:vAlign w:val="center"/>
          </w:tcPr>
          <w:p w14:paraId="632BEBB8">
            <w:pPr>
              <w:jc w:val="center"/>
              <w:rPr>
                <w:rFonts w:hint="eastAsia" w:ascii="宋体" w:hAnsi="宋体" w:cs="宋体"/>
                <w:szCs w:val="21"/>
              </w:rPr>
            </w:pPr>
            <w:r>
              <w:rPr>
                <w:rFonts w:hint="eastAsia" w:ascii="宋体" w:hAnsi="宋体" w:cs="宋体"/>
                <w:szCs w:val="21"/>
              </w:rPr>
              <w:t>整车故障连接测试平台</w:t>
            </w:r>
          </w:p>
        </w:tc>
        <w:tc>
          <w:tcPr>
            <w:tcW w:w="3571" w:type="pct"/>
            <w:vAlign w:val="center"/>
          </w:tcPr>
          <w:p w14:paraId="26FEDE91">
            <w:pPr>
              <w:adjustRightInd w:val="0"/>
              <w:ind w:left="105" w:leftChars="50"/>
              <w:rPr>
                <w:rFonts w:hint="eastAsia" w:ascii="宋体" w:hAnsi="宋体" w:cs="宋体"/>
                <w:szCs w:val="21"/>
                <w:lang w:val="zh-CN"/>
              </w:rPr>
            </w:pPr>
            <w:r>
              <w:rPr>
                <w:rFonts w:hint="eastAsia" w:ascii="宋体" w:hAnsi="宋体" w:cs="宋体"/>
                <w:szCs w:val="21"/>
              </w:rPr>
              <w:t>一、设备介绍</w:t>
            </w:r>
            <w:r>
              <w:rPr>
                <w:rFonts w:hint="eastAsia" w:ascii="宋体" w:hAnsi="宋体" w:cs="宋体"/>
                <w:szCs w:val="21"/>
              </w:rPr>
              <w:br w:type="textWrapping"/>
            </w:r>
            <w:r>
              <w:rPr>
                <w:rFonts w:hint="eastAsia" w:ascii="宋体" w:hAnsi="宋体" w:cs="宋体"/>
                <w:szCs w:val="21"/>
              </w:rPr>
              <w:t>该设备配套2020款迈腾PA教学车使用，基于大众原厂最新电路开发。检测盒与车辆进行无损连接后，可对汽车发动机控制、J519模块、灯光、舒适系统、进入及启动许可系统J965、网关J533进行原车配套的检测与维修。检测盒便于教师设故和学生实时在线信号测量，可根据教学实际需求选用，满足不同的教学需求标准，最大程度支持工学结合人才培养模式的应用。对课程改革与创新也起到良好的运用功能，能进一步提升学生专业技能，促进高职院校相关专业毕业生就业，为行业、企业培养实用性紧缺人才。</w:t>
            </w:r>
            <w:r>
              <w:rPr>
                <w:rFonts w:hint="eastAsia" w:ascii="宋体" w:hAnsi="宋体" w:cs="宋体"/>
                <w:szCs w:val="21"/>
              </w:rPr>
              <w:br w:type="textWrapping"/>
            </w:r>
            <w:r>
              <w:rPr>
                <w:rFonts w:hint="eastAsia" w:ascii="宋体" w:hAnsi="宋体" w:cs="宋体"/>
                <w:szCs w:val="21"/>
              </w:rPr>
              <w:t>二、设备功能</w:t>
            </w:r>
            <w:r>
              <w:rPr>
                <w:rFonts w:hint="eastAsia" w:ascii="宋体" w:hAnsi="宋体" w:cs="宋体"/>
                <w:szCs w:val="21"/>
              </w:rPr>
              <w:br w:type="textWrapping"/>
            </w:r>
            <w:r>
              <w:rPr>
                <w:rFonts w:hint="eastAsia" w:ascii="宋体" w:hAnsi="宋体" w:cs="宋体"/>
                <w:szCs w:val="21"/>
              </w:rPr>
              <w:t>1.整车故障连接检测盒以整车为基础，在不破坏原车电路情况下，可以轻松的串联在控制模块和原车线束之间。整车各控制系统、传感器、执行器功能齐全，可正常运行。</w:t>
            </w:r>
            <w:r>
              <w:rPr>
                <w:rFonts w:hint="eastAsia" w:ascii="宋体" w:hAnsi="宋体" w:cs="宋体"/>
                <w:szCs w:val="21"/>
              </w:rPr>
              <w:br w:type="textWrapping"/>
            </w:r>
            <w:r>
              <w:rPr>
                <w:rFonts w:hint="eastAsia" w:ascii="宋体" w:hAnsi="宋体" w:cs="宋体"/>
                <w:szCs w:val="21"/>
              </w:rPr>
              <w:t>2.检测盒一盒多用，既可以作为教师故障考核设置终端，也可以作为学生信号测量终端。支持发动机控制单元J623部分、车载电网控制单元J519部分（含内外部灯光、喇叭、雨刮清洗系统）、左前车门控制单元J386部分（含玻璃升降、门锁、后视镜、喇叭等）、右前车门控制单元J387部分、进入及启动许可系统控制单元J965部分、网关J533部分的信号测量与故障设置。</w:t>
            </w:r>
            <w:r>
              <w:rPr>
                <w:rFonts w:hint="eastAsia" w:ascii="宋体" w:hAnsi="宋体" w:cs="宋体"/>
                <w:szCs w:val="21"/>
              </w:rPr>
              <w:br w:type="textWrapping"/>
            </w:r>
            <w:r>
              <w:rPr>
                <w:rFonts w:hint="eastAsia" w:ascii="宋体" w:hAnsi="宋体" w:cs="宋体"/>
                <w:szCs w:val="21"/>
              </w:rPr>
              <w:t>3.通过与原车插头配套的线束插接器连接检测盒，可实现整车教学、实训考核的训练要求。</w:t>
            </w:r>
            <w:r>
              <w:rPr>
                <w:rFonts w:hint="eastAsia" w:ascii="宋体" w:hAnsi="宋体" w:cs="宋体"/>
                <w:szCs w:val="21"/>
              </w:rPr>
              <w:br w:type="textWrapping"/>
            </w:r>
            <w:r>
              <w:rPr>
                <w:rFonts w:hint="eastAsia" w:ascii="宋体" w:hAnsi="宋体" w:cs="宋体"/>
                <w:szCs w:val="21"/>
              </w:rPr>
              <w:t>4.检测盒背面部分为机械故障设置终端，采用隐藏式机械故障设置系统，通过U型连接端子可设置断路、短路、偶发、接触不良、CAN线反接故障。能有效的模拟系统发生故障时的各种现象，提高学员的故障判断能力，有效的保护设备的使用效率。</w:t>
            </w:r>
            <w:r>
              <w:rPr>
                <w:rFonts w:hint="eastAsia" w:ascii="宋体" w:hAnsi="宋体" w:cs="宋体"/>
                <w:szCs w:val="21"/>
              </w:rPr>
              <w:br w:type="textWrapping"/>
            </w:r>
            <w:r>
              <w:rPr>
                <w:rFonts w:hint="eastAsia" w:ascii="宋体" w:hAnsi="宋体" w:cs="宋体"/>
                <w:szCs w:val="21"/>
              </w:rPr>
              <w:t>5.检测盒前面部分为学生测量部分，可直接用万用表、示波器在面板上实时测量电压、电流、电阻、频率、波形信号等。</w:t>
            </w:r>
            <w:r>
              <w:rPr>
                <w:rFonts w:hint="eastAsia" w:ascii="宋体" w:hAnsi="宋体" w:cs="宋体"/>
                <w:szCs w:val="21"/>
              </w:rPr>
              <w:br w:type="textWrapping"/>
            </w:r>
            <w:r>
              <w:rPr>
                <w:rFonts w:hint="eastAsia" w:ascii="宋体" w:hAnsi="宋体" w:cs="宋体"/>
                <w:szCs w:val="21"/>
              </w:rPr>
              <w:t>6.检测盒单针脚采用双测量点设计方式，可有效帮助学生在故障诊断过程中，判断元件端故障或是控制单元端故障。</w:t>
            </w:r>
            <w:r>
              <w:rPr>
                <w:rFonts w:hint="eastAsia" w:ascii="宋体" w:hAnsi="宋体" w:cs="宋体"/>
                <w:szCs w:val="21"/>
              </w:rPr>
              <w:br w:type="textWrapping"/>
            </w:r>
            <w:r>
              <w:rPr>
                <w:rFonts w:hint="eastAsia" w:ascii="宋体" w:hAnsi="宋体" w:cs="宋体"/>
                <w:szCs w:val="21"/>
              </w:rPr>
              <w:t>7.检测盒采用航空插头设计，可无损与车辆快速进行连接。还可通过更换配套线束和检测面板,可实现整车不同部位，不同模块的故障设置、检测、排除功能。避免了重复测量导致的线路损耗，检测端子与相关检测仪表、接线盒端子完全配套。</w:t>
            </w:r>
            <w:r>
              <w:rPr>
                <w:rFonts w:hint="eastAsia" w:ascii="宋体" w:hAnsi="宋体" w:cs="宋体"/>
                <w:szCs w:val="21"/>
              </w:rPr>
              <w:br w:type="textWrapping"/>
            </w:r>
            <w:r>
              <w:rPr>
                <w:rFonts w:hint="eastAsia" w:ascii="宋体" w:hAnsi="宋体" w:cs="宋体"/>
                <w:szCs w:val="21"/>
              </w:rPr>
              <w:t>8.检测盒采用4mm厚耐腐蚀、耐创击、耐污染、防火、防潮的高级铝塑板为基底，上面安装喷绘有不同控制单元端子针脚的彩色亚克力板，方便学生进行对照测量及测量模块更换。</w:t>
            </w:r>
            <w:r>
              <w:rPr>
                <w:rFonts w:hint="eastAsia" w:ascii="宋体" w:hAnsi="宋体" w:cs="宋体"/>
                <w:szCs w:val="21"/>
              </w:rPr>
              <w:br w:type="textWrapping"/>
            </w:r>
            <w:r>
              <w:rPr>
                <w:rFonts w:hint="eastAsia" w:ascii="宋体" w:hAnsi="宋体" w:cs="宋体"/>
                <w:szCs w:val="21"/>
              </w:rPr>
              <w:t>9.检测盒框架采用40mm×40mm一体化全铝合金型材搭建，耐油耐腐蚀并易于清洁。检测盒安装在工具车上，可随工具车移动灵活，安全可靠、坚固耐用。</w:t>
            </w:r>
          </w:p>
        </w:tc>
        <w:tc>
          <w:tcPr>
            <w:tcW w:w="357" w:type="pct"/>
            <w:vAlign w:val="center"/>
          </w:tcPr>
          <w:p w14:paraId="1AAD29A9">
            <w:pPr>
              <w:jc w:val="center"/>
              <w:rPr>
                <w:rFonts w:hint="eastAsia" w:ascii="宋体" w:hAnsi="宋体" w:cs="宋体"/>
                <w:szCs w:val="21"/>
              </w:rPr>
            </w:pPr>
            <w:r>
              <w:rPr>
                <w:rFonts w:hint="eastAsia" w:ascii="宋体" w:hAnsi="宋体" w:cs="宋体"/>
                <w:szCs w:val="21"/>
              </w:rPr>
              <w:t>1</w:t>
            </w:r>
          </w:p>
        </w:tc>
        <w:tc>
          <w:tcPr>
            <w:tcW w:w="341" w:type="pct"/>
            <w:vAlign w:val="center"/>
          </w:tcPr>
          <w:p w14:paraId="0023E8BA">
            <w:pPr>
              <w:jc w:val="center"/>
              <w:rPr>
                <w:rFonts w:hint="eastAsia" w:ascii="宋体" w:hAnsi="宋体" w:cs="宋体"/>
                <w:szCs w:val="21"/>
              </w:rPr>
            </w:pPr>
            <w:r>
              <w:rPr>
                <w:rFonts w:hint="eastAsia" w:ascii="宋体" w:hAnsi="宋体" w:cs="宋体"/>
                <w:szCs w:val="21"/>
              </w:rPr>
              <w:t>套</w:t>
            </w:r>
          </w:p>
        </w:tc>
      </w:tr>
      <w:tr w14:paraId="47DF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7" w:hRule="atLeast"/>
        </w:trPr>
        <w:tc>
          <w:tcPr>
            <w:tcW w:w="193" w:type="pct"/>
            <w:vAlign w:val="center"/>
          </w:tcPr>
          <w:p w14:paraId="3600028F">
            <w:pPr>
              <w:jc w:val="center"/>
              <w:rPr>
                <w:rFonts w:hint="eastAsia" w:ascii="宋体" w:hAnsi="宋体" w:cs="宋体"/>
                <w:b/>
                <w:bCs/>
                <w:szCs w:val="21"/>
              </w:rPr>
            </w:pPr>
            <w:r>
              <w:rPr>
                <w:rFonts w:hint="eastAsia" w:ascii="宋体" w:hAnsi="宋体" w:cs="宋体"/>
                <w:szCs w:val="21"/>
              </w:rPr>
              <w:t>5</w:t>
            </w:r>
          </w:p>
        </w:tc>
        <w:tc>
          <w:tcPr>
            <w:tcW w:w="536" w:type="pct"/>
            <w:vAlign w:val="center"/>
          </w:tcPr>
          <w:p w14:paraId="396EF4E7">
            <w:pPr>
              <w:jc w:val="center"/>
              <w:rPr>
                <w:rFonts w:hint="eastAsia" w:ascii="宋体" w:hAnsi="宋体" w:cs="宋体"/>
                <w:szCs w:val="21"/>
              </w:rPr>
            </w:pPr>
            <w:r>
              <w:rPr>
                <w:rFonts w:hint="eastAsia" w:ascii="宋体" w:hAnsi="宋体" w:cs="宋体"/>
                <w:szCs w:val="21"/>
              </w:rPr>
              <w:t>新能源汽车全车实训系统</w:t>
            </w:r>
          </w:p>
        </w:tc>
        <w:tc>
          <w:tcPr>
            <w:tcW w:w="3571" w:type="pct"/>
            <w:vAlign w:val="center"/>
          </w:tcPr>
          <w:p w14:paraId="70B60A4C">
            <w:pPr>
              <w:adjustRightInd w:val="0"/>
              <w:snapToGrid w:val="0"/>
              <w:ind w:left="105"/>
              <w:rPr>
                <w:rFonts w:hint="eastAsia" w:ascii="宋体" w:hAnsi="宋体" w:cs="宋体"/>
                <w:szCs w:val="21"/>
              </w:rPr>
            </w:pPr>
            <w:r>
              <w:rPr>
                <w:rFonts w:hint="eastAsia" w:ascii="宋体" w:hAnsi="宋体" w:cs="宋体"/>
                <w:szCs w:val="21"/>
              </w:rPr>
              <w:t>一、整车配置要求：</w:t>
            </w:r>
            <w:r>
              <w:rPr>
                <w:rFonts w:hint="eastAsia" w:ascii="宋体" w:hAnsi="宋体" w:cs="宋体"/>
                <w:szCs w:val="21"/>
              </w:rPr>
              <w:br w:type="textWrapping"/>
            </w:r>
            <w:r>
              <w:rPr>
                <w:rFonts w:hint="eastAsia" w:ascii="宋体" w:hAnsi="宋体" w:cs="宋体"/>
                <w:szCs w:val="21"/>
              </w:rPr>
              <w:t>（1）能源类型：纯电动；工况续航里程： 415km- 430km；电机类型：永磁同步电机；最大功率：100 kw-110 kw；电池容量：53kWh-55kWh。</w:t>
            </w:r>
            <w:r>
              <w:rPr>
                <w:rFonts w:hint="eastAsia" w:ascii="宋体" w:hAnsi="宋体" w:cs="宋体"/>
                <w:szCs w:val="21"/>
              </w:rPr>
              <w:br w:type="textWrapping"/>
            </w:r>
            <w:r>
              <w:rPr>
                <w:rFonts w:hint="eastAsia" w:ascii="宋体" w:hAnsi="宋体" w:cs="宋体"/>
                <w:szCs w:val="21"/>
              </w:rPr>
              <w:t>（2） 具备高压配电保护、继电器状态检测保护、预充电检测和主动放电安全管理、绝缘检测安全管理、碰撞安全管理、物理隔离保护、互锁检测等保护策略。</w:t>
            </w:r>
            <w:r>
              <w:rPr>
                <w:rFonts w:hint="eastAsia" w:ascii="宋体" w:hAnsi="宋体" w:cs="宋体"/>
                <w:szCs w:val="21"/>
              </w:rPr>
              <w:br w:type="textWrapping"/>
            </w:r>
            <w:r>
              <w:rPr>
                <w:rFonts w:hint="eastAsia" w:ascii="宋体" w:hAnsi="宋体" w:cs="宋体"/>
                <w:szCs w:val="21"/>
              </w:rPr>
              <w:t>（3） 安全配置：主驾驶座安全气囊、副驾驶座安全气囊、胎压报警、前排安全带未系提醒、儿童座椅接口、ABS 防抱死、制动力分配、刹车辅助、牵引力控制、车身稳定控制。</w:t>
            </w:r>
            <w:r>
              <w:rPr>
                <w:rFonts w:hint="eastAsia" w:ascii="宋体" w:hAnsi="宋体" w:cs="宋体"/>
                <w:szCs w:val="21"/>
              </w:rPr>
              <w:br w:type="textWrapping"/>
            </w:r>
            <w:r>
              <w:rPr>
                <w:rFonts w:hint="eastAsia" w:ascii="宋体" w:hAnsi="宋体" w:cs="宋体"/>
                <w:szCs w:val="21"/>
              </w:rPr>
              <w:t>（4） 车辆配备原厂电池管理系统、整车控制器、电机控制器、车载充电机等系统低压线束连接器及适配线束，可实现车辆被测系统与整车故障设置平台和故障检测盒的快速连接。</w:t>
            </w:r>
          </w:p>
        </w:tc>
        <w:tc>
          <w:tcPr>
            <w:tcW w:w="357" w:type="pct"/>
            <w:vAlign w:val="center"/>
          </w:tcPr>
          <w:p w14:paraId="12B5F149">
            <w:pPr>
              <w:jc w:val="center"/>
              <w:rPr>
                <w:rFonts w:hint="eastAsia" w:ascii="宋体" w:hAnsi="宋体" w:cs="宋体"/>
                <w:szCs w:val="21"/>
                <w:lang w:val="zh-CN"/>
              </w:rPr>
            </w:pPr>
            <w:r>
              <w:rPr>
                <w:rFonts w:hint="eastAsia" w:ascii="宋体" w:hAnsi="宋体" w:cs="宋体"/>
                <w:szCs w:val="21"/>
              </w:rPr>
              <w:t>1</w:t>
            </w:r>
          </w:p>
        </w:tc>
        <w:tc>
          <w:tcPr>
            <w:tcW w:w="341" w:type="pct"/>
            <w:vAlign w:val="center"/>
          </w:tcPr>
          <w:p w14:paraId="68F631BE">
            <w:pPr>
              <w:jc w:val="center"/>
              <w:rPr>
                <w:rFonts w:hint="eastAsia" w:ascii="宋体" w:hAnsi="宋体" w:cs="宋体"/>
                <w:szCs w:val="21"/>
              </w:rPr>
            </w:pPr>
            <w:r>
              <w:rPr>
                <w:rFonts w:hint="eastAsia" w:ascii="宋体" w:hAnsi="宋体" w:cs="宋体"/>
                <w:szCs w:val="21"/>
              </w:rPr>
              <w:t>套</w:t>
            </w:r>
          </w:p>
        </w:tc>
      </w:tr>
      <w:tr w14:paraId="345DA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2" w:hRule="atLeast"/>
        </w:trPr>
        <w:tc>
          <w:tcPr>
            <w:tcW w:w="193" w:type="pct"/>
            <w:vAlign w:val="center"/>
          </w:tcPr>
          <w:p w14:paraId="594E6AFE">
            <w:pPr>
              <w:jc w:val="center"/>
              <w:rPr>
                <w:rFonts w:hint="eastAsia" w:ascii="宋体" w:hAnsi="宋体" w:cs="宋体"/>
                <w:b/>
                <w:bCs/>
                <w:szCs w:val="21"/>
              </w:rPr>
            </w:pPr>
            <w:r>
              <w:rPr>
                <w:rFonts w:hint="eastAsia" w:ascii="宋体" w:hAnsi="宋体" w:cs="宋体"/>
                <w:szCs w:val="21"/>
              </w:rPr>
              <w:t>6</w:t>
            </w:r>
          </w:p>
        </w:tc>
        <w:tc>
          <w:tcPr>
            <w:tcW w:w="536" w:type="pct"/>
            <w:vAlign w:val="center"/>
          </w:tcPr>
          <w:p w14:paraId="306B8A9C">
            <w:pPr>
              <w:widowControl/>
              <w:jc w:val="center"/>
              <w:rPr>
                <w:rFonts w:hint="eastAsia" w:ascii="宋体" w:hAnsi="宋体" w:cs="宋体"/>
                <w:color w:val="000000"/>
                <w:kern w:val="0"/>
                <w:szCs w:val="21"/>
                <w:lang w:bidi="ar"/>
              </w:rPr>
            </w:pPr>
            <w:r>
              <w:rPr>
                <w:rFonts w:hint="eastAsia" w:ascii="宋体" w:hAnsi="宋体" w:cs="宋体"/>
                <w:szCs w:val="21"/>
              </w:rPr>
              <w:t>整车故障设置与检测连接平台</w:t>
            </w:r>
          </w:p>
        </w:tc>
        <w:tc>
          <w:tcPr>
            <w:tcW w:w="3571" w:type="pct"/>
            <w:vAlign w:val="center"/>
          </w:tcPr>
          <w:p w14:paraId="28B15193">
            <w:pPr>
              <w:adjustRightInd w:val="0"/>
              <w:snapToGrid w:val="0"/>
              <w:ind w:left="105" w:leftChars="50"/>
              <w:rPr>
                <w:rFonts w:hint="eastAsia" w:ascii="宋体" w:hAnsi="宋体" w:cs="宋体"/>
                <w:szCs w:val="21"/>
                <w:lang w:val="zh-CN"/>
              </w:rPr>
            </w:pPr>
            <w:r>
              <w:rPr>
                <w:rFonts w:hint="eastAsia" w:ascii="宋体" w:hAnsi="宋体" w:cs="宋体"/>
                <w:szCs w:val="21"/>
              </w:rPr>
              <w:t>一、该设备和一辆正常运行的纯电动轿车配合使用，在不破坏原车任意一条线束的基础上将整车转变为在线检测故障教具车，可实现实时检测与诊断原车、静态信号参数。可对控制单元主要线路进行断路、短路、虚接、交叉错接等故障，具备机械故障设置，采用原车整车控制器VCU控制单元、动力电池管理系统BMS控制单元、驱动电机控制单元、高压充配电总成控制单元、自动空调管理控制单元、EPS控制单元、EPB控制单元、智能钥匙控制单元、直流充电口、交流充电口、BCM车身电脑控制单元等的动、静态信号参数。机械设置系统，采用镀金U型插头，设故方法可靠，及具备无线故障设置功能。单一故障点不少于 300 个；采用铝型材台架拼接而成的可移动平台，参照国赛赛项技术要求设计；适用于中高等职业技术院校、普通教育类学院和培训机构对纯电动整车理论和维修实训的教学需要。</w:t>
            </w:r>
            <w:r>
              <w:rPr>
                <w:rFonts w:hint="eastAsia" w:ascii="宋体" w:hAnsi="宋体" w:cs="宋体"/>
                <w:szCs w:val="21"/>
              </w:rPr>
              <w:br w:type="textWrapping"/>
            </w:r>
            <w:r>
              <w:rPr>
                <w:rFonts w:hint="eastAsia" w:ascii="宋体" w:hAnsi="宋体" w:cs="宋体"/>
                <w:szCs w:val="21"/>
              </w:rPr>
              <w:t>二、功能特点</w:t>
            </w:r>
            <w:r>
              <w:rPr>
                <w:rFonts w:hint="eastAsia" w:ascii="宋体" w:hAnsi="宋体" w:cs="宋体"/>
                <w:szCs w:val="21"/>
              </w:rPr>
              <w:br w:type="textWrapping"/>
            </w:r>
            <w:r>
              <w:rPr>
                <w:rFonts w:hint="eastAsia" w:ascii="宋体" w:hAnsi="宋体" w:cs="宋体"/>
                <w:szCs w:val="21"/>
              </w:rPr>
              <w:t>1.通过专用线束与整车连接，断开专用线束后整车功能完整，保持原车所有功能及线束完整性；</w:t>
            </w:r>
            <w:r>
              <w:rPr>
                <w:rFonts w:hint="eastAsia" w:ascii="宋体" w:hAnsi="宋体" w:cs="宋体"/>
                <w:szCs w:val="21"/>
              </w:rPr>
              <w:br w:type="textWrapping"/>
            </w:r>
            <w:r>
              <w:rPr>
                <w:rFonts w:hint="eastAsia" w:ascii="宋体" w:hAnsi="宋体" w:cs="宋体"/>
                <w:szCs w:val="21"/>
              </w:rPr>
              <w:t>2.整车结构完整，不破坏原车任意一条线束，各控制系统、传感器、执行器齐全，可正常运行；</w:t>
            </w:r>
            <w:r>
              <w:rPr>
                <w:rFonts w:hint="eastAsia" w:ascii="宋体" w:hAnsi="宋体" w:cs="宋体"/>
                <w:szCs w:val="21"/>
              </w:rPr>
              <w:br w:type="textWrapping"/>
            </w:r>
            <w:r>
              <w:rPr>
                <w:rFonts w:hint="eastAsia" w:ascii="宋体" w:hAnsi="宋体" w:cs="宋体"/>
                <w:szCs w:val="21"/>
              </w:rPr>
              <w:t>3.检测与设故通过专用插接器将控制信号接回原车控制单元，整车总设故点不少于280个，插头与原车线束相同，连接线选用国标铁氟龙汽车专用电线，耐压不低于600V，确保整车电路信号正常；测量面板上绘制原车控制单元管脚并装有检测2mm镀金端子，直接在端子上测量模块系统实时信号，掌握不同控制单元参数变化规律；</w:t>
            </w:r>
            <w:r>
              <w:rPr>
                <w:rFonts w:hint="eastAsia" w:ascii="宋体" w:hAnsi="宋体" w:cs="宋体"/>
                <w:szCs w:val="21"/>
              </w:rPr>
              <w:br w:type="textWrapping"/>
            </w:r>
            <w:r>
              <w:rPr>
                <w:rFonts w:hint="eastAsia" w:ascii="宋体" w:hAnsi="宋体" w:cs="宋体"/>
                <w:szCs w:val="21"/>
              </w:rPr>
              <w:t>4.智能故障设置考核平台配备多功能一体机，可用于无线故障设置、电子版维修资料及电路图查阅、教学资源包、联网查阅资料等；</w:t>
            </w:r>
            <w:r>
              <w:rPr>
                <w:rFonts w:hint="eastAsia" w:ascii="宋体" w:hAnsi="宋体" w:cs="宋体"/>
                <w:szCs w:val="21"/>
              </w:rPr>
              <w:br w:type="textWrapping"/>
            </w:r>
            <w:r>
              <w:rPr>
                <w:rFonts w:hint="eastAsia" w:ascii="宋体" w:hAnsi="宋体" w:cs="宋体"/>
                <w:szCs w:val="21"/>
              </w:rPr>
              <w:t>5.故障设置区位于平台后下方采用隐藏推拉门故障设置机构设计，内部安装机械与无线故障设置系统，并配2mm专用对接线做短路等故障设置，可对控制单元主要线路进行断路、短路、虚接、交叉错接等故障；</w:t>
            </w:r>
            <w:r>
              <w:rPr>
                <w:rFonts w:hint="eastAsia" w:ascii="宋体" w:hAnsi="宋体" w:cs="宋体"/>
                <w:szCs w:val="21"/>
              </w:rPr>
              <w:br w:type="textWrapping"/>
            </w:r>
            <w:r>
              <w:rPr>
                <w:rFonts w:hint="eastAsia" w:ascii="宋体" w:hAnsi="宋体" w:cs="宋体"/>
                <w:szCs w:val="21"/>
              </w:rPr>
              <w:t>6.整车控制器VCU控制单元教学实训系统，可检测信号含油门踏板，刹车踏板，真空压力传感器，刹车真空助力泵，高压水泵，风扇信号等，可对控制单元主要线路进行断路、短路、虚接、交叉错接等故障设置和诊断；</w:t>
            </w:r>
            <w:r>
              <w:rPr>
                <w:rFonts w:hint="eastAsia" w:ascii="宋体" w:hAnsi="宋体" w:cs="宋体"/>
                <w:szCs w:val="21"/>
              </w:rPr>
              <w:br w:type="textWrapping"/>
            </w:r>
            <w:r>
              <w:rPr>
                <w:rFonts w:hint="eastAsia" w:ascii="宋体" w:hAnsi="宋体" w:cs="宋体"/>
                <w:szCs w:val="21"/>
              </w:rPr>
              <w:t>7.动力电池管理系统BMS控制单元教学实训系统，可检测信号含直流充电，交流充电，动力电池包低压线束信号等，可对控制单元主要线路进行断路、短路、虚接、交叉错接等故障设置和诊断；</w:t>
            </w:r>
            <w:r>
              <w:rPr>
                <w:rFonts w:hint="eastAsia" w:ascii="宋体" w:hAnsi="宋体" w:cs="宋体"/>
                <w:szCs w:val="21"/>
              </w:rPr>
              <w:br w:type="textWrapping"/>
            </w:r>
            <w:r>
              <w:rPr>
                <w:rFonts w:hint="eastAsia" w:ascii="宋体" w:hAnsi="宋体" w:cs="宋体"/>
                <w:szCs w:val="21"/>
              </w:rPr>
              <w:t>8.驱动电机控制单元教学实训系统，可检测信号含电机控制器通信，工作电源和地线等，可对控制单元主要线路进行断路、短路、虚接、交叉错接等故障设置和诊断；</w:t>
            </w:r>
            <w:r>
              <w:rPr>
                <w:rFonts w:hint="eastAsia" w:ascii="宋体" w:hAnsi="宋体" w:cs="宋体"/>
                <w:szCs w:val="21"/>
              </w:rPr>
              <w:br w:type="textWrapping"/>
            </w:r>
            <w:r>
              <w:rPr>
                <w:rFonts w:hint="eastAsia" w:ascii="宋体" w:hAnsi="宋体" w:cs="宋体"/>
                <w:szCs w:val="21"/>
              </w:rPr>
              <w:t>9.高压充配电总成控制单元教学实训系统，可检测信号含充配电总成通信，交流充电口，工作电源和地线等，可对控制单元主要线路进行断路、短路、虚接、交叉错接等故障设置和诊断；</w:t>
            </w:r>
            <w:r>
              <w:rPr>
                <w:rFonts w:hint="eastAsia" w:ascii="宋体" w:hAnsi="宋体" w:cs="宋体"/>
                <w:szCs w:val="21"/>
              </w:rPr>
              <w:br w:type="textWrapping"/>
            </w:r>
            <w:r>
              <w:rPr>
                <w:rFonts w:hint="eastAsia" w:ascii="宋体" w:hAnsi="宋体" w:cs="宋体"/>
                <w:szCs w:val="21"/>
              </w:rPr>
              <w:t>10.自动空调管理控制单元教学实训系统，可检测信号含冷暖循环电机，内外循环电机，出风口模式循环电机，压力传感器，主驾吹脚通道传感器，主驾吹面通道传感器，电子膨胀阀（空调），压力温度传感器（空调），阳光强度传感器，蒸发器温度传感器，室外温度传感器，室内温度传感器，电子膨胀阀（电池热管理），水温传感器，四通水阀等，可对控制单元主要线路进行断路、短路、虚接、交叉错接等故障设置和诊断；</w:t>
            </w:r>
            <w:r>
              <w:rPr>
                <w:rFonts w:hint="eastAsia" w:ascii="宋体" w:hAnsi="宋体" w:cs="宋体"/>
                <w:szCs w:val="21"/>
              </w:rPr>
              <w:br w:type="textWrapping"/>
            </w:r>
            <w:r>
              <w:rPr>
                <w:rFonts w:hint="eastAsia" w:ascii="宋体" w:hAnsi="宋体" w:cs="宋体"/>
                <w:szCs w:val="21"/>
              </w:rPr>
              <w:t>11.EPS控制单元教学实训系统，可检测信号含EPS通信信号，工作电源和地线等，可对控制单元主要线路进行断路、短路、虚接、交叉错接等故障设置和诊断；</w:t>
            </w:r>
            <w:r>
              <w:rPr>
                <w:rFonts w:hint="eastAsia" w:ascii="宋体" w:hAnsi="宋体" w:cs="宋体"/>
                <w:szCs w:val="21"/>
              </w:rPr>
              <w:br w:type="textWrapping"/>
            </w:r>
            <w:r>
              <w:rPr>
                <w:rFonts w:hint="eastAsia" w:ascii="宋体" w:hAnsi="宋体" w:cs="宋体"/>
                <w:szCs w:val="21"/>
              </w:rPr>
              <w:t>12.EPB控制单元教学实训系统，可检测信号含EPB开关，EPB电机，EPB模块通信，工作电源和地线等，可对控制单元主要线路进行断路、短路、虚接、交叉错接等故障设置和诊断；</w:t>
            </w:r>
            <w:r>
              <w:rPr>
                <w:rFonts w:hint="eastAsia" w:ascii="宋体" w:hAnsi="宋体" w:cs="宋体"/>
                <w:szCs w:val="21"/>
              </w:rPr>
              <w:br w:type="textWrapping"/>
            </w:r>
            <w:r>
              <w:rPr>
                <w:rFonts w:hint="eastAsia" w:ascii="宋体" w:hAnsi="宋体" w:cs="宋体"/>
                <w:szCs w:val="21"/>
              </w:rPr>
              <w:t>13.智能钥匙控制单元教学实训系统，可检测信号含车外探测天线，车内探测天线，微动开关，工作电源和地线等，可对控制单元主要线路进行断路、短路、虚接、交叉错接等故障设置和诊断；</w:t>
            </w:r>
            <w:r>
              <w:rPr>
                <w:rFonts w:hint="eastAsia" w:ascii="宋体" w:hAnsi="宋体" w:cs="宋体"/>
                <w:szCs w:val="21"/>
              </w:rPr>
              <w:br w:type="textWrapping"/>
            </w:r>
            <w:r>
              <w:rPr>
                <w:rFonts w:hint="eastAsia" w:ascii="宋体" w:hAnsi="宋体" w:cs="宋体"/>
                <w:szCs w:val="21"/>
              </w:rPr>
              <w:t>14.直流充电口单元教学实训系统，可检测信号含充电子网信号，直流充电感应信号，</w:t>
            </w:r>
            <w:r>
              <w:rPr>
                <w:rFonts w:hint="eastAsia" w:ascii="宋体" w:hAnsi="宋体" w:cs="宋体"/>
                <w:szCs w:val="21"/>
              </w:rPr>
              <w:br w:type="textWrapping"/>
            </w:r>
            <w:r>
              <w:rPr>
                <w:rFonts w:hint="eastAsia" w:ascii="宋体" w:hAnsi="宋体" w:cs="宋体"/>
                <w:szCs w:val="21"/>
              </w:rPr>
              <w:t>直流充电口温度信号，低压辅助电源信号等，可对直流充电口单元主要线路进行断</w:t>
            </w:r>
            <w:r>
              <w:rPr>
                <w:rFonts w:hint="eastAsia" w:ascii="宋体" w:hAnsi="宋体" w:cs="宋体"/>
                <w:szCs w:val="21"/>
              </w:rPr>
              <w:br w:type="textWrapping"/>
            </w:r>
            <w:r>
              <w:rPr>
                <w:rFonts w:hint="eastAsia" w:ascii="宋体" w:hAnsi="宋体" w:cs="宋体"/>
                <w:szCs w:val="21"/>
              </w:rPr>
              <w:t>路、虚接、短路等故障设置和诊断；</w:t>
            </w:r>
            <w:r>
              <w:rPr>
                <w:rFonts w:hint="eastAsia" w:ascii="宋体" w:hAnsi="宋体" w:cs="宋体"/>
                <w:szCs w:val="21"/>
              </w:rPr>
              <w:br w:type="textWrapping"/>
            </w:r>
            <w:r>
              <w:rPr>
                <w:rFonts w:hint="eastAsia" w:ascii="宋体" w:hAnsi="宋体" w:cs="宋体"/>
                <w:szCs w:val="21"/>
              </w:rPr>
              <w:t>15.交流充电口单元教学实训系统，可检测信号含开锁电源，闭锁电源，温度传感器高，温度传感器低，CC信号，CP信号等，可对交流充电口单元主要线路进行断路、短路、虚接、交叉错接等故障设置和诊断；</w:t>
            </w:r>
            <w:r>
              <w:rPr>
                <w:rFonts w:hint="eastAsia" w:ascii="宋体" w:hAnsi="宋体" w:cs="宋体"/>
                <w:szCs w:val="21"/>
              </w:rPr>
              <w:br w:type="textWrapping"/>
            </w:r>
            <w:r>
              <w:rPr>
                <w:rFonts w:hint="eastAsia" w:ascii="宋体" w:hAnsi="宋体" w:cs="宋体"/>
                <w:szCs w:val="21"/>
              </w:rPr>
              <w:t>16.BCM车身电脑控制单元教学实训系统，可检测信号含照明系统，门锁系统，低压配电，通信和地线等，可对控制单元主要线路进行断路、短路、虚接、交叉错接等故障设置和诊断；</w:t>
            </w:r>
            <w:r>
              <w:rPr>
                <w:rFonts w:hint="eastAsia" w:ascii="宋体" w:hAnsi="宋体" w:cs="宋体"/>
                <w:szCs w:val="21"/>
              </w:rPr>
              <w:br w:type="textWrapping"/>
            </w:r>
            <w:r>
              <w:rPr>
                <w:rFonts w:hint="eastAsia" w:ascii="宋体" w:hAnsi="宋体" w:cs="宋体"/>
                <w:szCs w:val="21"/>
              </w:rPr>
              <w:t>17.另配电子版原车维修手册和电路图及说明书，指导故障设置和排除；</w:t>
            </w:r>
            <w:r>
              <w:rPr>
                <w:rFonts w:hint="eastAsia" w:ascii="宋体" w:hAnsi="宋体" w:cs="宋体"/>
                <w:szCs w:val="21"/>
              </w:rPr>
              <w:br w:type="textWrapping"/>
            </w:r>
            <w:r>
              <w:rPr>
                <w:rFonts w:hint="eastAsia" w:ascii="宋体" w:hAnsi="宋体" w:cs="宋体"/>
                <w:szCs w:val="21"/>
              </w:rPr>
              <w:t>18.配备智能故障设置和考核系统，通过无线设故，由教师设置故障，学员分析并查找故障点，掌握实车故障处理能力；无线故障设置不少于30个点，分断路，偶发等现象；</w:t>
            </w:r>
            <w:r>
              <w:rPr>
                <w:rFonts w:hint="eastAsia" w:ascii="宋体" w:hAnsi="宋体" w:cs="宋体"/>
                <w:szCs w:val="21"/>
              </w:rPr>
              <w:br w:type="textWrapping"/>
            </w:r>
            <w:r>
              <w:rPr>
                <w:rFonts w:hint="eastAsia" w:ascii="宋体" w:hAnsi="宋体" w:cs="宋体"/>
                <w:szCs w:val="21"/>
              </w:rPr>
              <w:t>19.检测面板采用4mm厚耐腐蚀、耐创击、耐污染、防火、防潮的高级铝塑板，表面经特殊工艺喷涂底漆处理；面板打印有永不褪色的彩色控制单元插头插座端子图；并安装2mm镀金检测端子，学员可通过对照原车电路图和原车实物，测量和分析各控制系统的工作原理和信号传输过程。</w:t>
            </w:r>
            <w:r>
              <w:rPr>
                <w:rFonts w:hint="eastAsia" w:ascii="宋体" w:hAnsi="宋体" w:cs="宋体"/>
                <w:szCs w:val="21"/>
              </w:rPr>
              <w:br w:type="textWrapping"/>
            </w:r>
            <w:r>
              <w:rPr>
                <w:rFonts w:hint="eastAsia" w:ascii="宋体" w:hAnsi="宋体" w:cs="宋体"/>
                <w:szCs w:val="21"/>
              </w:rPr>
              <w:t>三、基本配置</w:t>
            </w:r>
            <w:r>
              <w:rPr>
                <w:rFonts w:hint="eastAsia" w:ascii="宋体" w:hAnsi="宋体" w:cs="宋体"/>
                <w:szCs w:val="21"/>
              </w:rPr>
              <w:br w:type="textWrapping"/>
            </w:r>
            <w:r>
              <w:rPr>
                <w:rFonts w:hint="eastAsia" w:ascii="宋体" w:hAnsi="宋体" w:cs="宋体"/>
                <w:szCs w:val="21"/>
              </w:rPr>
              <w:t>1.专用对接线束1整套；</w:t>
            </w:r>
            <w:r>
              <w:rPr>
                <w:rFonts w:hint="eastAsia" w:ascii="宋体" w:hAnsi="宋体" w:cs="宋体"/>
                <w:szCs w:val="21"/>
              </w:rPr>
              <w:br w:type="textWrapping"/>
            </w:r>
            <w:r>
              <w:rPr>
                <w:rFonts w:hint="eastAsia" w:ascii="宋体" w:hAnsi="宋体" w:cs="宋体"/>
                <w:szCs w:val="21"/>
              </w:rPr>
              <w:t>2.整车故障设置与检测平台1台；</w:t>
            </w:r>
            <w:r>
              <w:rPr>
                <w:rFonts w:hint="eastAsia" w:ascii="宋体" w:hAnsi="宋体" w:cs="宋体"/>
                <w:szCs w:val="21"/>
              </w:rPr>
              <w:br w:type="textWrapping"/>
            </w:r>
            <w:r>
              <w:rPr>
                <w:rFonts w:hint="eastAsia" w:ascii="宋体" w:hAnsi="宋体" w:cs="宋体"/>
                <w:szCs w:val="21"/>
              </w:rPr>
              <w:t>3.机械设故系统1套（故障点不少于 300 路）；</w:t>
            </w:r>
            <w:r>
              <w:rPr>
                <w:rFonts w:hint="eastAsia" w:ascii="宋体" w:hAnsi="宋体" w:cs="宋体"/>
                <w:szCs w:val="21"/>
              </w:rPr>
              <w:br w:type="textWrapping"/>
            </w:r>
            <w:r>
              <w:rPr>
                <w:rFonts w:hint="eastAsia" w:ascii="宋体" w:hAnsi="宋体" w:cs="宋体"/>
                <w:szCs w:val="21"/>
              </w:rPr>
              <w:t>4.无线设故系统1套（故障点不少于 30 路）；</w:t>
            </w:r>
            <w:r>
              <w:rPr>
                <w:rFonts w:hint="eastAsia" w:ascii="宋体" w:hAnsi="宋体" w:cs="宋体"/>
                <w:szCs w:val="21"/>
              </w:rPr>
              <w:br w:type="textWrapping"/>
            </w:r>
            <w:r>
              <w:rPr>
                <w:rFonts w:hint="eastAsia" w:ascii="宋体" w:hAnsi="宋体" w:cs="宋体"/>
                <w:szCs w:val="21"/>
              </w:rPr>
              <w:t>5.多媒体一体机1台（不小于18.5英寸） ；</w:t>
            </w:r>
            <w:r>
              <w:rPr>
                <w:rFonts w:hint="eastAsia" w:ascii="宋体" w:hAnsi="宋体" w:cs="宋体"/>
                <w:szCs w:val="21"/>
              </w:rPr>
              <w:br w:type="textWrapping"/>
            </w:r>
            <w:r>
              <w:rPr>
                <w:rFonts w:hint="eastAsia" w:ascii="宋体" w:hAnsi="宋体" w:cs="宋体"/>
                <w:szCs w:val="21"/>
              </w:rPr>
              <w:t>6.整车控制原理图教板1件；</w:t>
            </w:r>
            <w:r>
              <w:rPr>
                <w:rFonts w:hint="eastAsia" w:ascii="宋体" w:hAnsi="宋体" w:cs="宋体"/>
                <w:szCs w:val="21"/>
              </w:rPr>
              <w:br w:type="textWrapping"/>
            </w:r>
            <w:r>
              <w:rPr>
                <w:rFonts w:hint="eastAsia" w:ascii="宋体" w:hAnsi="宋体" w:cs="宋体"/>
                <w:szCs w:val="21"/>
              </w:rPr>
              <w:t>四、可完成实训项目</w:t>
            </w:r>
            <w:r>
              <w:rPr>
                <w:rFonts w:hint="eastAsia" w:ascii="宋体" w:hAnsi="宋体" w:cs="宋体"/>
                <w:szCs w:val="21"/>
              </w:rPr>
              <w:br w:type="textWrapping"/>
            </w:r>
            <w:r>
              <w:rPr>
                <w:rFonts w:hint="eastAsia" w:ascii="宋体" w:hAnsi="宋体" w:cs="宋体"/>
                <w:szCs w:val="21"/>
              </w:rPr>
              <w:t>1.了解纯电动汽车的技术参数；</w:t>
            </w:r>
            <w:r>
              <w:rPr>
                <w:rFonts w:hint="eastAsia" w:ascii="宋体" w:hAnsi="宋体" w:cs="宋体"/>
                <w:szCs w:val="21"/>
              </w:rPr>
              <w:br w:type="textWrapping"/>
            </w:r>
            <w:r>
              <w:rPr>
                <w:rFonts w:hint="eastAsia" w:ascii="宋体" w:hAnsi="宋体" w:cs="宋体"/>
                <w:szCs w:val="21"/>
              </w:rPr>
              <w:t>2.熟悉各总成零部件的名称和功能；</w:t>
            </w:r>
            <w:r>
              <w:rPr>
                <w:rFonts w:hint="eastAsia" w:ascii="宋体" w:hAnsi="宋体" w:cs="宋体"/>
                <w:szCs w:val="21"/>
              </w:rPr>
              <w:br w:type="textWrapping"/>
            </w:r>
            <w:r>
              <w:rPr>
                <w:rFonts w:hint="eastAsia" w:ascii="宋体" w:hAnsi="宋体" w:cs="宋体"/>
                <w:szCs w:val="21"/>
              </w:rPr>
              <w:t>3.了解比亚迪高压三合一充配电总成技术先进性；</w:t>
            </w:r>
            <w:r>
              <w:rPr>
                <w:rFonts w:hint="eastAsia" w:ascii="宋体" w:hAnsi="宋体" w:cs="宋体"/>
                <w:szCs w:val="21"/>
              </w:rPr>
              <w:br w:type="textWrapping"/>
            </w:r>
            <w:r>
              <w:rPr>
                <w:rFonts w:hint="eastAsia" w:ascii="宋体" w:hAnsi="宋体" w:cs="宋体"/>
                <w:szCs w:val="21"/>
              </w:rPr>
              <w:t>4.了解纯电动汽车各总成之间的控制关系；</w:t>
            </w:r>
            <w:r>
              <w:rPr>
                <w:rFonts w:hint="eastAsia" w:ascii="宋体" w:hAnsi="宋体" w:cs="宋体"/>
                <w:szCs w:val="21"/>
              </w:rPr>
              <w:br w:type="textWrapping"/>
            </w:r>
            <w:r>
              <w:rPr>
                <w:rFonts w:hint="eastAsia" w:ascii="宋体" w:hAnsi="宋体" w:cs="宋体"/>
                <w:szCs w:val="21"/>
              </w:rPr>
              <w:t>5.熟悉控制模块的组成；</w:t>
            </w:r>
            <w:r>
              <w:rPr>
                <w:rFonts w:hint="eastAsia" w:ascii="宋体" w:hAnsi="宋体" w:cs="宋体"/>
                <w:szCs w:val="21"/>
              </w:rPr>
              <w:br w:type="textWrapping"/>
            </w:r>
            <w:r>
              <w:rPr>
                <w:rFonts w:hint="eastAsia" w:ascii="宋体" w:hAnsi="宋体" w:cs="宋体"/>
                <w:szCs w:val="21"/>
              </w:rPr>
              <w:t>6.了解电机控制器模块的结构和工作原理；</w:t>
            </w:r>
            <w:r>
              <w:rPr>
                <w:rFonts w:hint="eastAsia" w:ascii="宋体" w:hAnsi="宋体" w:cs="宋体"/>
                <w:szCs w:val="21"/>
              </w:rPr>
              <w:br w:type="textWrapping"/>
            </w:r>
            <w:r>
              <w:rPr>
                <w:rFonts w:hint="eastAsia" w:ascii="宋体" w:hAnsi="宋体" w:cs="宋体"/>
                <w:szCs w:val="21"/>
              </w:rPr>
              <w:t>7.掌握电机控制器模块的检测方法；</w:t>
            </w:r>
            <w:r>
              <w:rPr>
                <w:rFonts w:hint="eastAsia" w:ascii="宋体" w:hAnsi="宋体" w:cs="宋体"/>
                <w:szCs w:val="21"/>
              </w:rPr>
              <w:br w:type="textWrapping"/>
            </w:r>
            <w:r>
              <w:rPr>
                <w:rFonts w:hint="eastAsia" w:ascii="宋体" w:hAnsi="宋体" w:cs="宋体"/>
                <w:szCs w:val="21"/>
              </w:rPr>
              <w:t>8.了解DC-DC转换器模块的结构和工作原理；</w:t>
            </w:r>
            <w:r>
              <w:rPr>
                <w:rFonts w:hint="eastAsia" w:ascii="宋体" w:hAnsi="宋体" w:cs="宋体"/>
                <w:szCs w:val="21"/>
              </w:rPr>
              <w:br w:type="textWrapping"/>
            </w:r>
            <w:r>
              <w:rPr>
                <w:rFonts w:hint="eastAsia" w:ascii="宋体" w:hAnsi="宋体" w:cs="宋体"/>
                <w:szCs w:val="21"/>
              </w:rPr>
              <w:t>9.掌握DC-DC转换器模块的检测方法；</w:t>
            </w:r>
            <w:r>
              <w:rPr>
                <w:rFonts w:hint="eastAsia" w:ascii="宋体" w:hAnsi="宋体" w:cs="宋体"/>
                <w:szCs w:val="21"/>
              </w:rPr>
              <w:br w:type="textWrapping"/>
            </w:r>
            <w:r>
              <w:rPr>
                <w:rFonts w:hint="eastAsia" w:ascii="宋体" w:hAnsi="宋体" w:cs="宋体"/>
                <w:szCs w:val="21"/>
              </w:rPr>
              <w:t>10.了解动力配电箱模块的结构和工作原理；</w:t>
            </w:r>
            <w:r>
              <w:rPr>
                <w:rFonts w:hint="eastAsia" w:ascii="宋体" w:hAnsi="宋体" w:cs="宋体"/>
                <w:szCs w:val="21"/>
              </w:rPr>
              <w:br w:type="textWrapping"/>
            </w:r>
            <w:r>
              <w:rPr>
                <w:rFonts w:hint="eastAsia" w:ascii="宋体" w:hAnsi="宋体" w:cs="宋体"/>
                <w:szCs w:val="21"/>
              </w:rPr>
              <w:t>11.掌握动力配电箱模块的检测方法；</w:t>
            </w:r>
            <w:r>
              <w:rPr>
                <w:rFonts w:hint="eastAsia" w:ascii="宋体" w:hAnsi="宋体" w:cs="宋体"/>
                <w:szCs w:val="21"/>
              </w:rPr>
              <w:br w:type="textWrapping"/>
            </w:r>
            <w:r>
              <w:rPr>
                <w:rFonts w:hint="eastAsia" w:ascii="宋体" w:hAnsi="宋体" w:cs="宋体"/>
                <w:szCs w:val="21"/>
              </w:rPr>
              <w:t>12.了解电池管理单元的结构和工作原理；</w:t>
            </w:r>
            <w:r>
              <w:rPr>
                <w:rFonts w:hint="eastAsia" w:ascii="宋体" w:hAnsi="宋体" w:cs="宋体"/>
                <w:szCs w:val="21"/>
              </w:rPr>
              <w:br w:type="textWrapping"/>
            </w:r>
            <w:r>
              <w:rPr>
                <w:rFonts w:hint="eastAsia" w:ascii="宋体" w:hAnsi="宋体" w:cs="宋体"/>
                <w:szCs w:val="21"/>
              </w:rPr>
              <w:t>13.掌握电池管理单元的检测方法；</w:t>
            </w:r>
            <w:r>
              <w:rPr>
                <w:rFonts w:hint="eastAsia" w:ascii="宋体" w:hAnsi="宋体" w:cs="宋体"/>
                <w:szCs w:val="21"/>
              </w:rPr>
              <w:br w:type="textWrapping"/>
            </w:r>
            <w:r>
              <w:rPr>
                <w:rFonts w:hint="eastAsia" w:ascii="宋体" w:hAnsi="宋体" w:cs="宋体"/>
                <w:szCs w:val="21"/>
              </w:rPr>
              <w:t>14.熟悉电机总成的结构、工作原理及工作过程；</w:t>
            </w:r>
            <w:r>
              <w:rPr>
                <w:rFonts w:hint="eastAsia" w:ascii="宋体" w:hAnsi="宋体" w:cs="宋体"/>
                <w:szCs w:val="21"/>
              </w:rPr>
              <w:br w:type="textWrapping"/>
            </w:r>
            <w:r>
              <w:rPr>
                <w:rFonts w:hint="eastAsia" w:ascii="宋体" w:hAnsi="宋体" w:cs="宋体"/>
                <w:szCs w:val="21"/>
              </w:rPr>
              <w:t>15.掌握电机总成的检测方法；</w:t>
            </w:r>
            <w:r>
              <w:rPr>
                <w:rFonts w:hint="eastAsia" w:ascii="宋体" w:hAnsi="宋体" w:cs="宋体"/>
                <w:szCs w:val="21"/>
              </w:rPr>
              <w:br w:type="textWrapping"/>
            </w:r>
            <w:r>
              <w:rPr>
                <w:rFonts w:hint="eastAsia" w:ascii="宋体" w:hAnsi="宋体" w:cs="宋体"/>
                <w:szCs w:val="21"/>
              </w:rPr>
              <w:t>16.了解220V/7KW交流车载慢充的结构和工作原理；</w:t>
            </w:r>
            <w:r>
              <w:rPr>
                <w:rFonts w:hint="eastAsia" w:ascii="宋体" w:hAnsi="宋体" w:cs="宋体"/>
                <w:szCs w:val="21"/>
              </w:rPr>
              <w:br w:type="textWrapping"/>
            </w:r>
            <w:r>
              <w:rPr>
                <w:rFonts w:hint="eastAsia" w:ascii="宋体" w:hAnsi="宋体" w:cs="宋体"/>
                <w:szCs w:val="21"/>
              </w:rPr>
              <w:t>17掌握220V/7KW交流车载慢充的检测方法；</w:t>
            </w:r>
            <w:r>
              <w:rPr>
                <w:rFonts w:hint="eastAsia" w:ascii="宋体" w:hAnsi="宋体" w:cs="宋体"/>
                <w:szCs w:val="21"/>
              </w:rPr>
              <w:br w:type="textWrapping"/>
            </w:r>
            <w:r>
              <w:rPr>
                <w:rFonts w:hint="eastAsia" w:ascii="宋体" w:hAnsi="宋体" w:cs="宋体"/>
                <w:szCs w:val="21"/>
              </w:rPr>
              <w:t>18.了解直流快充的结构和工作原理；</w:t>
            </w:r>
            <w:r>
              <w:rPr>
                <w:rFonts w:hint="eastAsia" w:ascii="宋体" w:hAnsi="宋体" w:cs="宋体"/>
                <w:szCs w:val="21"/>
              </w:rPr>
              <w:br w:type="textWrapping"/>
            </w:r>
            <w:r>
              <w:rPr>
                <w:rFonts w:hint="eastAsia" w:ascii="宋体" w:hAnsi="宋体" w:cs="宋体"/>
                <w:szCs w:val="21"/>
              </w:rPr>
              <w:t>19.掌握直流快充的检测方法；</w:t>
            </w:r>
            <w:r>
              <w:rPr>
                <w:rFonts w:hint="eastAsia" w:ascii="宋体" w:hAnsi="宋体" w:cs="宋体"/>
                <w:szCs w:val="21"/>
              </w:rPr>
              <w:br w:type="textWrapping"/>
            </w:r>
            <w:r>
              <w:rPr>
                <w:rFonts w:hint="eastAsia" w:ascii="宋体" w:hAnsi="宋体" w:cs="宋体"/>
                <w:szCs w:val="21"/>
              </w:rPr>
              <w:t>20.了解档位控制器的结构和工作原理；</w:t>
            </w:r>
            <w:r>
              <w:rPr>
                <w:rFonts w:hint="eastAsia" w:ascii="宋体" w:hAnsi="宋体" w:cs="宋体"/>
                <w:szCs w:val="21"/>
              </w:rPr>
              <w:br w:type="textWrapping"/>
            </w:r>
            <w:r>
              <w:rPr>
                <w:rFonts w:hint="eastAsia" w:ascii="宋体" w:hAnsi="宋体" w:cs="宋体"/>
                <w:szCs w:val="21"/>
              </w:rPr>
              <w:t>21.掌握档位控制器的检测方法；</w:t>
            </w:r>
            <w:r>
              <w:rPr>
                <w:rFonts w:hint="eastAsia" w:ascii="宋体" w:hAnsi="宋体" w:cs="宋体"/>
                <w:szCs w:val="21"/>
              </w:rPr>
              <w:br w:type="textWrapping"/>
            </w:r>
            <w:r>
              <w:rPr>
                <w:rFonts w:hint="eastAsia" w:ascii="宋体" w:hAnsi="宋体" w:cs="宋体"/>
                <w:szCs w:val="21"/>
              </w:rPr>
              <w:t>22.了解主控ECU的结构和工作原理；</w:t>
            </w:r>
            <w:r>
              <w:rPr>
                <w:rFonts w:hint="eastAsia" w:ascii="宋体" w:hAnsi="宋体" w:cs="宋体"/>
                <w:szCs w:val="21"/>
              </w:rPr>
              <w:br w:type="textWrapping"/>
            </w:r>
            <w:r>
              <w:rPr>
                <w:rFonts w:hint="eastAsia" w:ascii="宋体" w:hAnsi="宋体" w:cs="宋体"/>
                <w:szCs w:val="21"/>
              </w:rPr>
              <w:t>23.掌握主控ECU的检测方法；</w:t>
            </w:r>
            <w:r>
              <w:rPr>
                <w:rFonts w:hint="eastAsia" w:ascii="宋体" w:hAnsi="宋体" w:cs="宋体"/>
                <w:szCs w:val="21"/>
              </w:rPr>
              <w:br w:type="textWrapping"/>
            </w:r>
            <w:r>
              <w:rPr>
                <w:rFonts w:hint="eastAsia" w:ascii="宋体" w:hAnsi="宋体" w:cs="宋体"/>
                <w:szCs w:val="21"/>
              </w:rPr>
              <w:t>24.了解加速踏板的结构和工作原理；</w:t>
            </w:r>
            <w:r>
              <w:rPr>
                <w:rFonts w:hint="eastAsia" w:ascii="宋体" w:hAnsi="宋体" w:cs="宋体"/>
                <w:szCs w:val="21"/>
              </w:rPr>
              <w:br w:type="textWrapping"/>
            </w:r>
            <w:r>
              <w:rPr>
                <w:rFonts w:hint="eastAsia" w:ascii="宋体" w:hAnsi="宋体" w:cs="宋体"/>
                <w:szCs w:val="21"/>
              </w:rPr>
              <w:t>25.掌握加速踏板的检测方法；</w:t>
            </w:r>
            <w:r>
              <w:rPr>
                <w:rFonts w:hint="eastAsia" w:ascii="宋体" w:hAnsi="宋体" w:cs="宋体"/>
                <w:szCs w:val="21"/>
              </w:rPr>
              <w:br w:type="textWrapping"/>
            </w:r>
            <w:r>
              <w:rPr>
                <w:rFonts w:hint="eastAsia" w:ascii="宋体" w:hAnsi="宋体" w:cs="宋体"/>
                <w:szCs w:val="21"/>
              </w:rPr>
              <w:t>26.了解防盗系统结构和工作原理；</w:t>
            </w:r>
            <w:r>
              <w:rPr>
                <w:rFonts w:hint="eastAsia" w:ascii="宋体" w:hAnsi="宋体" w:cs="宋体"/>
                <w:szCs w:val="21"/>
              </w:rPr>
              <w:br w:type="textWrapping"/>
            </w:r>
            <w:r>
              <w:rPr>
                <w:rFonts w:hint="eastAsia" w:ascii="宋体" w:hAnsi="宋体" w:cs="宋体"/>
                <w:szCs w:val="21"/>
              </w:rPr>
              <w:t>27.掌握防盗系统的检测方法；</w:t>
            </w:r>
            <w:r>
              <w:rPr>
                <w:rFonts w:hint="eastAsia" w:ascii="宋体" w:hAnsi="宋体" w:cs="宋体"/>
                <w:szCs w:val="21"/>
              </w:rPr>
              <w:br w:type="textWrapping"/>
            </w:r>
            <w:r>
              <w:rPr>
                <w:rFonts w:hint="eastAsia" w:ascii="宋体" w:hAnsi="宋体" w:cs="宋体"/>
                <w:szCs w:val="21"/>
              </w:rPr>
              <w:t>28.了解车身电器系统结构和工作原理；</w:t>
            </w:r>
            <w:r>
              <w:rPr>
                <w:rFonts w:hint="eastAsia" w:ascii="宋体" w:hAnsi="宋体" w:cs="宋体"/>
                <w:szCs w:val="21"/>
              </w:rPr>
              <w:br w:type="textWrapping"/>
            </w:r>
            <w:r>
              <w:rPr>
                <w:rFonts w:hint="eastAsia" w:ascii="宋体" w:hAnsi="宋体" w:cs="宋体"/>
                <w:szCs w:val="21"/>
              </w:rPr>
              <w:t>29.掌握车身电器系统的检测方法；</w:t>
            </w:r>
          </w:p>
        </w:tc>
        <w:tc>
          <w:tcPr>
            <w:tcW w:w="357" w:type="pct"/>
            <w:vAlign w:val="center"/>
          </w:tcPr>
          <w:p w14:paraId="35933225">
            <w:pPr>
              <w:jc w:val="center"/>
              <w:rPr>
                <w:rFonts w:hint="eastAsia" w:ascii="宋体" w:hAnsi="宋体" w:cs="宋体"/>
                <w:szCs w:val="21"/>
              </w:rPr>
            </w:pPr>
            <w:r>
              <w:rPr>
                <w:rFonts w:hint="eastAsia" w:ascii="宋体" w:hAnsi="宋体" w:cs="宋体"/>
                <w:szCs w:val="21"/>
              </w:rPr>
              <w:t>1</w:t>
            </w:r>
          </w:p>
        </w:tc>
        <w:tc>
          <w:tcPr>
            <w:tcW w:w="341" w:type="pct"/>
            <w:vAlign w:val="center"/>
          </w:tcPr>
          <w:p w14:paraId="6AF782B1">
            <w:pPr>
              <w:jc w:val="center"/>
              <w:rPr>
                <w:rFonts w:hint="eastAsia" w:ascii="宋体" w:hAnsi="宋体" w:cs="宋体"/>
                <w:szCs w:val="21"/>
              </w:rPr>
            </w:pPr>
            <w:r>
              <w:rPr>
                <w:rFonts w:hint="eastAsia" w:ascii="宋体" w:hAnsi="宋体" w:cs="宋体"/>
                <w:szCs w:val="21"/>
              </w:rPr>
              <w:t>套</w:t>
            </w:r>
          </w:p>
        </w:tc>
      </w:tr>
      <w:tr w14:paraId="15DB5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3" w:hRule="atLeast"/>
        </w:trPr>
        <w:tc>
          <w:tcPr>
            <w:tcW w:w="193" w:type="pct"/>
            <w:vAlign w:val="center"/>
          </w:tcPr>
          <w:p w14:paraId="077EB6ED">
            <w:pPr>
              <w:jc w:val="center"/>
              <w:rPr>
                <w:rFonts w:hint="eastAsia" w:ascii="宋体" w:hAnsi="宋体" w:cs="宋体"/>
                <w:b/>
                <w:bCs/>
                <w:szCs w:val="21"/>
              </w:rPr>
            </w:pPr>
            <w:r>
              <w:rPr>
                <w:rFonts w:hint="eastAsia" w:ascii="宋体" w:hAnsi="宋体" w:cs="宋体"/>
                <w:szCs w:val="21"/>
              </w:rPr>
              <w:t>7</w:t>
            </w:r>
          </w:p>
        </w:tc>
        <w:tc>
          <w:tcPr>
            <w:tcW w:w="536" w:type="pct"/>
            <w:vAlign w:val="center"/>
          </w:tcPr>
          <w:p w14:paraId="233C65AF">
            <w:pPr>
              <w:adjustRightInd w:val="0"/>
              <w:snapToGrid w:val="0"/>
              <w:jc w:val="center"/>
              <w:rPr>
                <w:rFonts w:hint="eastAsia" w:ascii="宋体" w:hAnsi="宋体" w:cs="宋体"/>
                <w:szCs w:val="21"/>
              </w:rPr>
            </w:pPr>
            <w:r>
              <w:rPr>
                <w:rFonts w:hint="eastAsia" w:ascii="宋体" w:hAnsi="宋体" w:cs="宋体"/>
                <w:szCs w:val="21"/>
              </w:rPr>
              <w:t>电池包组装实训台</w:t>
            </w:r>
          </w:p>
        </w:tc>
        <w:tc>
          <w:tcPr>
            <w:tcW w:w="3571" w:type="pct"/>
            <w:vAlign w:val="center"/>
          </w:tcPr>
          <w:p w14:paraId="5F15BE44">
            <w:pPr>
              <w:numPr>
                <w:ilvl w:val="0"/>
                <w:numId w:val="4"/>
              </w:numPr>
              <w:adjustRightInd w:val="0"/>
              <w:snapToGrid w:val="0"/>
              <w:ind w:left="105" w:leftChars="50"/>
              <w:jc w:val="left"/>
              <w:rPr>
                <w:rFonts w:hint="eastAsia" w:ascii="宋体" w:hAnsi="宋体" w:cs="宋体"/>
                <w:szCs w:val="21"/>
              </w:rPr>
            </w:pPr>
            <w:r>
              <w:rPr>
                <w:rFonts w:hint="eastAsia" w:ascii="宋体" w:hAnsi="宋体" w:cs="宋体"/>
                <w:szCs w:val="21"/>
              </w:rPr>
              <w:t>产品组成要求：</w:t>
            </w:r>
            <w:r>
              <w:rPr>
                <w:rFonts w:hint="eastAsia" w:ascii="宋体" w:hAnsi="宋体" w:cs="宋体"/>
                <w:szCs w:val="21"/>
              </w:rPr>
              <w:br w:type="textWrapping"/>
            </w:r>
            <w:r>
              <w:rPr>
                <w:rFonts w:hint="eastAsia" w:ascii="宋体" w:hAnsi="宋体" w:cs="宋体"/>
                <w:szCs w:val="21"/>
              </w:rPr>
              <w:t>1、BMS电池管理系统：主控系统1个、从控采集盒1个、采集线束1条、电流传感器1个、充放电保险丝1个、温度传感器4个、CAN转换盒1个、上位机软件1套。</w:t>
            </w:r>
            <w:r>
              <w:rPr>
                <w:rFonts w:hint="eastAsia" w:ascii="宋体" w:hAnsi="宋体" w:cs="宋体"/>
                <w:szCs w:val="21"/>
              </w:rPr>
              <w:br w:type="textWrapping"/>
            </w:r>
            <w:r>
              <w:rPr>
                <w:rFonts w:hint="eastAsia" w:ascii="宋体" w:hAnsi="宋体" w:cs="宋体"/>
                <w:szCs w:val="21"/>
              </w:rPr>
              <w:t>2、电池箱：电池箱底壳体1个、电池箱上透明壳体1个、维修开关支架1个、电池束带4个、电池固定座2个、主放电继电器2个、预充继电器1个、充电继电器1个、预充电阻1个、充放电高压插头2套、通讯插座1套、充放电保险丝1个。</w:t>
            </w:r>
            <w:r>
              <w:rPr>
                <w:rFonts w:hint="eastAsia" w:ascii="宋体" w:hAnsi="宋体" w:cs="宋体"/>
                <w:szCs w:val="21"/>
              </w:rPr>
              <w:br w:type="textWrapping"/>
            </w:r>
            <w:r>
              <w:rPr>
                <w:rFonts w:hint="eastAsia" w:ascii="宋体" w:hAnsi="宋体" w:cs="宋体"/>
                <w:szCs w:val="21"/>
              </w:rPr>
              <w:t>3、电池组：3.2V20AH方形铝壳封装磷酸铁锂电池30块、电池连接片24个、MSD机械维修开关1个</w:t>
            </w:r>
            <w:r>
              <w:rPr>
                <w:rFonts w:hint="eastAsia" w:ascii="宋体" w:hAnsi="宋体" w:cs="宋体"/>
                <w:szCs w:val="21"/>
              </w:rPr>
              <w:br w:type="textWrapping"/>
            </w:r>
            <w:r>
              <w:rPr>
                <w:rFonts w:hint="eastAsia" w:ascii="宋体" w:hAnsi="宋体" w:cs="宋体"/>
                <w:szCs w:val="21"/>
              </w:rPr>
              <w:t>4、控制箱：箱体1套、车载充电机1台、交流充电座1个、直流充电座1个、充电指示灯1个、运行指示灯1个、控制开关1个、放电负载1套、充放电接口1套。</w:t>
            </w:r>
            <w:r>
              <w:rPr>
                <w:rFonts w:hint="eastAsia" w:ascii="宋体" w:hAnsi="宋体" w:cs="宋体"/>
                <w:szCs w:val="21"/>
              </w:rPr>
              <w:br w:type="textWrapping"/>
            </w:r>
            <w:r>
              <w:rPr>
                <w:rFonts w:hint="eastAsia" w:ascii="宋体" w:hAnsi="宋体" w:cs="宋体"/>
                <w:szCs w:val="21"/>
              </w:rPr>
              <w:t>二、产品规格要求：</w:t>
            </w:r>
            <w:r>
              <w:rPr>
                <w:rFonts w:hint="eastAsia" w:ascii="宋体" w:hAnsi="宋体" w:cs="宋体"/>
                <w:szCs w:val="21"/>
              </w:rPr>
              <w:br w:type="textWrapping"/>
            </w:r>
            <w:r>
              <w:rPr>
                <w:rFonts w:hint="eastAsia" w:ascii="宋体" w:hAnsi="宋体" w:cs="宋体"/>
                <w:szCs w:val="21"/>
              </w:rPr>
              <w:t>1、电池箱：外型尺寸；长（850mm-860mm）*宽（560mm-570mm）*高（180mm-190mm</w:t>
            </w:r>
          </w:p>
          <w:p w14:paraId="603132C8">
            <w:pPr>
              <w:adjustRightInd w:val="0"/>
              <w:snapToGrid w:val="0"/>
              <w:ind w:left="105" w:leftChars="50"/>
              <w:jc w:val="left"/>
              <w:rPr>
                <w:rFonts w:hint="eastAsia" w:ascii="宋体" w:hAnsi="宋体" w:cs="宋体"/>
                <w:szCs w:val="21"/>
              </w:rPr>
            </w:pPr>
            <w:r>
              <w:rPr>
                <w:rFonts w:hint="eastAsia" w:ascii="宋体" w:hAnsi="宋体" w:cs="宋体"/>
                <w:szCs w:val="21"/>
              </w:rPr>
              <w:t>2、产品工艺；底座1.5mm钢板折弯表面静电喷涂罩盖5mm透明亚克力板熔接</w:t>
            </w:r>
            <w:r>
              <w:rPr>
                <w:rFonts w:hint="eastAsia" w:ascii="宋体" w:hAnsi="宋体" w:cs="宋体"/>
                <w:szCs w:val="21"/>
              </w:rPr>
              <w:br w:type="textWrapping"/>
            </w:r>
            <w:r>
              <w:rPr>
                <w:rFonts w:hint="eastAsia" w:ascii="宋体" w:hAnsi="宋体" w:cs="宋体"/>
                <w:szCs w:val="21"/>
              </w:rPr>
              <w:t>三、产品功能要求：</w:t>
            </w:r>
            <w:r>
              <w:rPr>
                <w:rFonts w:hint="eastAsia" w:ascii="宋体" w:hAnsi="宋体" w:cs="宋体"/>
                <w:szCs w:val="21"/>
              </w:rPr>
              <w:br w:type="textWrapping"/>
            </w:r>
            <w:r>
              <w:rPr>
                <w:rFonts w:hint="eastAsia" w:ascii="宋体" w:hAnsi="宋体" w:cs="宋体"/>
                <w:szCs w:val="21"/>
              </w:rPr>
              <w:t>1、电池单体为方形磷酸铁锂电池，使用螺栓方式连接，电池单体标称电压3.2V，容量20Ah。</w:t>
            </w:r>
            <w:r>
              <w:rPr>
                <w:rFonts w:hint="eastAsia" w:ascii="宋体" w:hAnsi="宋体" w:cs="宋体"/>
                <w:szCs w:val="21"/>
              </w:rPr>
              <w:br w:type="textWrapping"/>
            </w:r>
            <w:r>
              <w:rPr>
                <w:rFonts w:hint="eastAsia" w:ascii="宋体" w:hAnsi="宋体" w:cs="宋体"/>
                <w:szCs w:val="21"/>
              </w:rPr>
              <w:t>2、电池箱体可布置2个模组每个模组可安装12串电池，箱体内设置电池模组卡槽，箱体可容纳总电池节数24节，模组间设有手动维修开关，电池箱体上盖采用透明材质制作。</w:t>
            </w:r>
            <w:r>
              <w:rPr>
                <w:rFonts w:hint="eastAsia" w:ascii="宋体" w:hAnsi="宋体" w:cs="宋体"/>
                <w:szCs w:val="21"/>
              </w:rPr>
              <w:br w:type="textWrapping"/>
            </w:r>
            <w:r>
              <w:rPr>
                <w:rFonts w:hint="eastAsia" w:ascii="宋体" w:hAnsi="宋体" w:cs="宋体"/>
                <w:szCs w:val="21"/>
              </w:rPr>
              <w:t>3、采用车规级分布式电池管理系统，可利用上位机软件对电池管理系统进行参数设置，具有高压互锁信号检测、接触器粘连检测功能。</w:t>
            </w:r>
            <w:r>
              <w:rPr>
                <w:rFonts w:hint="eastAsia" w:ascii="宋体" w:hAnsi="宋体" w:cs="宋体"/>
                <w:szCs w:val="21"/>
              </w:rPr>
              <w:br w:type="textWrapping"/>
            </w:r>
            <w:r>
              <w:rPr>
                <w:rFonts w:hint="eastAsia" w:ascii="宋体" w:hAnsi="宋体" w:cs="宋体"/>
                <w:szCs w:val="21"/>
              </w:rPr>
              <w:t>4、技术平台配置国标交流充电口和车载充电机，支持国标7kW及以下交流充电桩充电，预留直流充电口。</w:t>
            </w:r>
            <w:r>
              <w:rPr>
                <w:rFonts w:hint="eastAsia" w:ascii="宋体" w:hAnsi="宋体" w:cs="宋体"/>
                <w:szCs w:val="21"/>
              </w:rPr>
              <w:br w:type="textWrapping"/>
            </w:r>
            <w:r>
              <w:rPr>
                <w:rFonts w:hint="eastAsia" w:ascii="宋体" w:hAnsi="宋体" w:cs="宋体"/>
                <w:szCs w:val="21"/>
              </w:rPr>
              <w:t>5、技术平台配置其他元件包含：电压采样线束、温度采样线束、电池连接片、紧固螺栓、主接触器、预充接触器、交流充电接触器、电流传感器、高压线束、维修开关、简易放电负载等。</w:t>
            </w:r>
            <w:r>
              <w:rPr>
                <w:rFonts w:hint="eastAsia" w:ascii="宋体" w:hAnsi="宋体" w:cs="宋体"/>
                <w:szCs w:val="21"/>
              </w:rPr>
              <w:br w:type="textWrapping"/>
            </w:r>
            <w:r>
              <w:rPr>
                <w:rFonts w:hint="eastAsia" w:ascii="宋体" w:hAnsi="宋体" w:cs="宋体"/>
                <w:szCs w:val="21"/>
              </w:rPr>
              <w:t>6、技术平台配置可视化图文界面，可动态显示电池管理系统内部参数，支持对电池管理系统更新升级。</w:t>
            </w:r>
            <w:r>
              <w:rPr>
                <w:rFonts w:hint="eastAsia" w:ascii="宋体" w:hAnsi="宋体" w:cs="宋体"/>
                <w:szCs w:val="21"/>
              </w:rPr>
              <w:br w:type="textWrapping"/>
            </w:r>
            <w:r>
              <w:rPr>
                <w:rFonts w:hint="eastAsia" w:ascii="宋体" w:hAnsi="宋体" w:cs="宋体"/>
                <w:szCs w:val="21"/>
              </w:rPr>
              <w:t>7、高压板版块：可实时显示电池包放电电流、充电电流、总电压、绝缘电阻值、SOC值、电池包最高电压组、电池包最低电压组、电压差、电池组平均电压。</w:t>
            </w:r>
            <w:r>
              <w:rPr>
                <w:rFonts w:hint="eastAsia" w:ascii="宋体" w:hAnsi="宋体" w:cs="宋体"/>
                <w:szCs w:val="21"/>
              </w:rPr>
              <w:br w:type="textWrapping"/>
            </w:r>
            <w:r>
              <w:rPr>
                <w:rFonts w:hint="eastAsia" w:ascii="宋体" w:hAnsi="宋体" w:cs="宋体"/>
                <w:szCs w:val="21"/>
              </w:rPr>
              <w:t>8、电池包版块：可实时显示电池包内所有温度传感器数值并列出最高温度值和最低温度值。</w:t>
            </w:r>
            <w:r>
              <w:rPr>
                <w:rFonts w:hint="eastAsia" w:ascii="宋体" w:hAnsi="宋体" w:cs="宋体"/>
                <w:szCs w:val="21"/>
              </w:rPr>
              <w:br w:type="textWrapping"/>
            </w:r>
            <w:r>
              <w:rPr>
                <w:rFonts w:hint="eastAsia" w:ascii="宋体" w:hAnsi="宋体" w:cs="宋体"/>
                <w:szCs w:val="21"/>
              </w:rPr>
              <w:t>9、总电压欠压报警阈值、SOC过低报警阈值、单体动态电压差报警阈值、系统温度差报警阈值。</w:t>
            </w:r>
            <w:r>
              <w:rPr>
                <w:rFonts w:hint="eastAsia" w:ascii="宋体" w:hAnsi="宋体" w:cs="宋体"/>
                <w:szCs w:val="21"/>
              </w:rPr>
              <w:br w:type="textWrapping"/>
            </w:r>
            <w:r>
              <w:rPr>
                <w:rFonts w:hint="eastAsia" w:ascii="宋体" w:hAnsi="宋体" w:cs="宋体"/>
                <w:szCs w:val="21"/>
              </w:rPr>
              <w:t>10、通讯故障版块：可实时显示电池组中各模块间通讯状态如电池组通讯状态、HMU通讯状态。</w:t>
            </w:r>
            <w:r>
              <w:rPr>
                <w:rFonts w:hint="eastAsia" w:ascii="宋体" w:hAnsi="宋体" w:cs="宋体"/>
                <w:szCs w:val="21"/>
              </w:rPr>
              <w:br w:type="textWrapping"/>
            </w:r>
            <w:r>
              <w:rPr>
                <w:rFonts w:hint="eastAsia" w:ascii="宋体" w:hAnsi="宋体" w:cs="宋体"/>
                <w:szCs w:val="21"/>
              </w:rPr>
              <w:t>11、技术平台配置资源存储计算机，可存储可视化课程资源和文本资源等，支持资源远程更新。</w:t>
            </w:r>
            <w:r>
              <w:rPr>
                <w:rFonts w:hint="eastAsia" w:ascii="宋体" w:hAnsi="宋体" w:cs="宋体"/>
                <w:szCs w:val="21"/>
              </w:rPr>
              <w:br w:type="textWrapping"/>
            </w:r>
            <w:r>
              <w:rPr>
                <w:rFonts w:hint="eastAsia" w:ascii="宋体" w:hAnsi="宋体" w:cs="宋体"/>
                <w:szCs w:val="21"/>
              </w:rPr>
              <w:t>12、技术平台支持功能扩展，实训过程中可通过预留接口与实训检测面板对接用于检测电池管理系统及电池包各项参数。</w:t>
            </w:r>
            <w:r>
              <w:rPr>
                <w:rFonts w:hint="eastAsia" w:ascii="宋体" w:hAnsi="宋体" w:cs="宋体"/>
                <w:szCs w:val="21"/>
              </w:rPr>
              <w:br w:type="textWrapping"/>
            </w:r>
            <w:r>
              <w:rPr>
                <w:rFonts w:hint="eastAsia" w:ascii="宋体" w:hAnsi="宋体" w:cs="宋体"/>
                <w:szCs w:val="21"/>
              </w:rPr>
              <w:t>13、技术平台配置多工能控制箱用于电池包充电控制、放电控制、报警控制，通过控制箱上的指示灯可清晰了解到电池包运行状态。</w:t>
            </w:r>
            <w:r>
              <w:rPr>
                <w:rFonts w:hint="eastAsia" w:ascii="宋体" w:hAnsi="宋体" w:cs="宋体"/>
                <w:szCs w:val="21"/>
              </w:rPr>
              <w:br w:type="textWrapping"/>
            </w:r>
            <w:r>
              <w:rPr>
                <w:rFonts w:hint="eastAsia" w:ascii="宋体" w:hAnsi="宋体" w:cs="宋体"/>
                <w:szCs w:val="21"/>
              </w:rPr>
              <w:t>四、电池包组装实训台智能化教学系统软件技术要求：</w:t>
            </w:r>
            <w:r>
              <w:rPr>
                <w:rFonts w:hint="eastAsia" w:ascii="宋体" w:hAnsi="宋体" w:cs="宋体"/>
                <w:szCs w:val="21"/>
              </w:rPr>
              <w:br w:type="textWrapping"/>
            </w:r>
            <w:r>
              <w:rPr>
                <w:rFonts w:hint="eastAsia" w:ascii="宋体" w:hAnsi="宋体" w:cs="宋体"/>
                <w:szCs w:val="21"/>
              </w:rPr>
              <w:t>该软件配置可视化图文界面，可实时采集电池管理系统的动态数据和对电池管理系统进行参数设置，并支持对电池管理系统更新升级和关键数据保存打印功能。</w:t>
            </w:r>
            <w:r>
              <w:rPr>
                <w:rFonts w:hint="eastAsia" w:ascii="宋体" w:hAnsi="宋体" w:cs="宋体"/>
                <w:szCs w:val="21"/>
              </w:rPr>
              <w:br w:type="textWrapping"/>
            </w:r>
            <w:r>
              <w:rPr>
                <w:rFonts w:hint="eastAsia" w:ascii="宋体" w:hAnsi="宋体" w:cs="宋体"/>
                <w:szCs w:val="21"/>
              </w:rPr>
              <w:t>上位机软件主要分为7个模块，分别为：高压版模块、电池包模块、电池电压模块、HBMU配置模块、通讯故障模块、输入输出模块和实时数据模块。（投标文件中需提供高压版模块、电池包模块、电池电压模块、HBMU配置模块、通讯故障模块、输入输出模块和实时数据模块功能7个截图加盖投标人公章）</w:t>
            </w:r>
            <w:r>
              <w:rPr>
                <w:rFonts w:hint="eastAsia" w:ascii="宋体" w:hAnsi="宋体" w:cs="宋体"/>
                <w:szCs w:val="21"/>
              </w:rPr>
              <w:br w:type="textWrapping"/>
            </w:r>
            <w:r>
              <w:rPr>
                <w:rFonts w:hint="eastAsia" w:ascii="宋体" w:hAnsi="宋体" w:cs="宋体"/>
                <w:szCs w:val="21"/>
              </w:rPr>
              <w:t>（1）高压板模块：可实时显示电池包放电电流、充电电流、总电压、绝缘电阻值、SOC值、电池包最高电压组、电池包最低电压组、电压差、电池组平均电压、充电机充电状态等信息，界面配有指针显示表和电池包电量显示动画。</w:t>
            </w:r>
            <w:r>
              <w:rPr>
                <w:rFonts w:hint="eastAsia" w:ascii="宋体" w:hAnsi="宋体" w:cs="宋体"/>
                <w:szCs w:val="21"/>
              </w:rPr>
              <w:br w:type="textWrapping"/>
            </w:r>
            <w:r>
              <w:rPr>
                <w:rFonts w:hint="eastAsia" w:ascii="宋体" w:hAnsi="宋体" w:cs="宋体"/>
                <w:szCs w:val="21"/>
              </w:rPr>
              <w:t>（2）电池包模块：可实时显示电池包内所有温度传感器数值并列出最高温度值和最低温度值。</w:t>
            </w:r>
            <w:r>
              <w:rPr>
                <w:rFonts w:hint="eastAsia" w:ascii="宋体" w:hAnsi="宋体" w:cs="宋体"/>
                <w:szCs w:val="21"/>
              </w:rPr>
              <w:br w:type="textWrapping"/>
            </w:r>
            <w:r>
              <w:rPr>
                <w:rFonts w:hint="eastAsia" w:ascii="宋体" w:hAnsi="宋体" w:cs="宋体"/>
                <w:szCs w:val="21"/>
              </w:rPr>
              <w:t>（3）电池电压模块：实时显示电池包内2个电池组中单体电池电压值，每个电池组下方列出电池组的电压平均值，使用红色条框标识出每个电池组中最大电压值，使用蓝色条框标识出每个电池组中最小电压值，使用红色圆点标识出每个电池组中处于均衡状态的单体电池。</w:t>
            </w:r>
            <w:r>
              <w:rPr>
                <w:rFonts w:hint="eastAsia" w:ascii="宋体" w:hAnsi="宋体" w:cs="宋体"/>
                <w:szCs w:val="21"/>
              </w:rPr>
              <w:br w:type="textWrapping"/>
            </w:r>
            <w:r>
              <w:rPr>
                <w:rFonts w:hint="eastAsia" w:ascii="宋体" w:hAnsi="宋体" w:cs="宋体"/>
                <w:szCs w:val="21"/>
              </w:rPr>
              <w:t>（4）HBMU配置模块：可下载出现有BMU中的版本信息、电池编号、温度传感器编号、电池组板号、故障信息、充电机工作设置、充电机配置信息、预充设置、电池容量、单体电池过压报警阈值、短路电流报警阈值等71项内容。为方便教学及对BMS学习系统特定开放了部分可设定选项如单体电池欠压报警一级阈值、总电压欠压报警阈值、SOC过低报警阈值、单体动态电压差报警阈值、系统温度差报警阈值。</w:t>
            </w:r>
            <w:r>
              <w:rPr>
                <w:rFonts w:hint="eastAsia" w:ascii="宋体" w:hAnsi="宋体" w:cs="宋体"/>
                <w:szCs w:val="21"/>
              </w:rPr>
              <w:br w:type="textWrapping"/>
            </w:r>
            <w:r>
              <w:rPr>
                <w:rFonts w:hint="eastAsia" w:ascii="宋体" w:hAnsi="宋体" w:cs="宋体"/>
                <w:szCs w:val="21"/>
              </w:rPr>
              <w:t>（5）通讯故障模块：可实时显示电池组中各模块间通讯状态如电池组通讯状态、HMU通讯状态、充电机通讯状态、HVU通讯状态等，正常通讯时均显示为绿色有故障状态下显示为红色。</w:t>
            </w:r>
            <w:r>
              <w:rPr>
                <w:rFonts w:hint="eastAsia" w:ascii="宋体" w:hAnsi="宋体" w:cs="宋体"/>
                <w:szCs w:val="21"/>
              </w:rPr>
              <w:br w:type="textWrapping"/>
            </w:r>
            <w:r>
              <w:rPr>
                <w:rFonts w:hint="eastAsia" w:ascii="宋体" w:hAnsi="宋体" w:cs="宋体"/>
                <w:szCs w:val="21"/>
              </w:rPr>
              <w:t>五、教学及实训项目：</w:t>
            </w:r>
            <w:r>
              <w:rPr>
                <w:rFonts w:hint="eastAsia" w:ascii="宋体" w:hAnsi="宋体" w:cs="宋体"/>
                <w:szCs w:val="21"/>
              </w:rPr>
              <w:br w:type="textWrapping"/>
            </w:r>
            <w:r>
              <w:rPr>
                <w:rFonts w:hint="eastAsia" w:ascii="宋体" w:hAnsi="宋体" w:cs="宋体"/>
                <w:szCs w:val="21"/>
              </w:rPr>
              <w:t>1.高压电池包结构组装教学。</w:t>
            </w:r>
            <w:r>
              <w:rPr>
                <w:rFonts w:hint="eastAsia" w:ascii="宋体" w:hAnsi="宋体" w:cs="宋体"/>
                <w:szCs w:val="21"/>
              </w:rPr>
              <w:br w:type="textWrapping"/>
            </w:r>
            <w:r>
              <w:rPr>
                <w:rFonts w:hint="eastAsia" w:ascii="宋体" w:hAnsi="宋体" w:cs="宋体"/>
                <w:szCs w:val="21"/>
              </w:rPr>
              <w:t>2.高压电池包上下电逻辑原理。</w:t>
            </w:r>
            <w:r>
              <w:rPr>
                <w:rFonts w:hint="eastAsia" w:ascii="宋体" w:hAnsi="宋体" w:cs="宋体"/>
                <w:szCs w:val="21"/>
              </w:rPr>
              <w:br w:type="textWrapping"/>
            </w:r>
            <w:r>
              <w:rPr>
                <w:rFonts w:hint="eastAsia" w:ascii="宋体" w:hAnsi="宋体" w:cs="宋体"/>
                <w:szCs w:val="21"/>
              </w:rPr>
              <w:t>3.高压电池包的充放电原理。</w:t>
            </w:r>
            <w:r>
              <w:rPr>
                <w:rFonts w:hint="eastAsia" w:ascii="宋体" w:hAnsi="宋体" w:cs="宋体"/>
                <w:szCs w:val="21"/>
              </w:rPr>
              <w:br w:type="textWrapping"/>
            </w:r>
            <w:r>
              <w:rPr>
                <w:rFonts w:hint="eastAsia" w:ascii="宋体" w:hAnsi="宋体" w:cs="宋体"/>
                <w:szCs w:val="21"/>
              </w:rPr>
              <w:t>4.高压电池包绝缘检测。</w:t>
            </w:r>
            <w:r>
              <w:rPr>
                <w:rFonts w:hint="eastAsia" w:ascii="宋体" w:hAnsi="宋体" w:cs="宋体"/>
                <w:szCs w:val="21"/>
              </w:rPr>
              <w:br w:type="textWrapping"/>
            </w:r>
            <w:r>
              <w:rPr>
                <w:rFonts w:hint="eastAsia" w:ascii="宋体" w:hAnsi="宋体" w:cs="宋体"/>
                <w:szCs w:val="21"/>
              </w:rPr>
              <w:t>5.锂电池特性测量教学。</w:t>
            </w:r>
            <w:r>
              <w:rPr>
                <w:rFonts w:hint="eastAsia" w:ascii="宋体" w:hAnsi="宋体" w:cs="宋体"/>
                <w:szCs w:val="21"/>
              </w:rPr>
              <w:br w:type="textWrapping"/>
            </w:r>
            <w:r>
              <w:rPr>
                <w:rFonts w:hint="eastAsia" w:ascii="宋体" w:hAnsi="宋体" w:cs="宋体"/>
                <w:szCs w:val="21"/>
              </w:rPr>
              <w:t>6.BMS电池管理系统均衡工作原理。</w:t>
            </w:r>
            <w:r>
              <w:rPr>
                <w:rFonts w:hint="eastAsia" w:ascii="宋体" w:hAnsi="宋体" w:cs="宋体"/>
                <w:szCs w:val="21"/>
              </w:rPr>
              <w:br w:type="textWrapping"/>
            </w:r>
            <w:r>
              <w:rPr>
                <w:rFonts w:hint="eastAsia" w:ascii="宋体" w:hAnsi="宋体" w:cs="宋体"/>
                <w:szCs w:val="21"/>
              </w:rPr>
              <w:t>7.BMS电池管理系统功能参数标定。</w:t>
            </w:r>
            <w:r>
              <w:rPr>
                <w:rFonts w:hint="eastAsia" w:ascii="宋体" w:hAnsi="宋体" w:cs="宋体"/>
                <w:szCs w:val="21"/>
              </w:rPr>
              <w:br w:type="textWrapping"/>
            </w:r>
            <w:r>
              <w:rPr>
                <w:rFonts w:hint="eastAsia" w:ascii="宋体" w:hAnsi="宋体" w:cs="宋体"/>
                <w:szCs w:val="21"/>
              </w:rPr>
              <w:t>8.BMS电池管理系统控制原理。</w:t>
            </w:r>
          </w:p>
        </w:tc>
        <w:tc>
          <w:tcPr>
            <w:tcW w:w="357" w:type="pct"/>
            <w:vAlign w:val="center"/>
          </w:tcPr>
          <w:p w14:paraId="5A761B11">
            <w:pPr>
              <w:jc w:val="center"/>
              <w:rPr>
                <w:rFonts w:hint="eastAsia" w:ascii="宋体" w:hAnsi="宋体" w:cs="宋体"/>
                <w:szCs w:val="21"/>
                <w:lang w:val="zh-CN"/>
              </w:rPr>
            </w:pPr>
            <w:r>
              <w:rPr>
                <w:rFonts w:hint="eastAsia" w:ascii="宋体" w:hAnsi="宋体" w:cs="宋体"/>
                <w:szCs w:val="21"/>
              </w:rPr>
              <w:t>1</w:t>
            </w:r>
          </w:p>
        </w:tc>
        <w:tc>
          <w:tcPr>
            <w:tcW w:w="341" w:type="pct"/>
            <w:vAlign w:val="center"/>
          </w:tcPr>
          <w:p w14:paraId="7FF9310A">
            <w:pPr>
              <w:jc w:val="center"/>
              <w:rPr>
                <w:rFonts w:hint="eastAsia" w:ascii="宋体" w:hAnsi="宋体" w:cs="宋体"/>
                <w:szCs w:val="21"/>
              </w:rPr>
            </w:pPr>
            <w:r>
              <w:rPr>
                <w:rFonts w:hint="eastAsia" w:ascii="宋体" w:hAnsi="宋体" w:cs="宋体"/>
                <w:szCs w:val="21"/>
              </w:rPr>
              <w:t>套</w:t>
            </w:r>
          </w:p>
        </w:tc>
      </w:tr>
      <w:tr w14:paraId="18103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3" w:hRule="atLeast"/>
        </w:trPr>
        <w:tc>
          <w:tcPr>
            <w:tcW w:w="193" w:type="pct"/>
            <w:vAlign w:val="center"/>
          </w:tcPr>
          <w:p w14:paraId="1A0B34E3">
            <w:pPr>
              <w:jc w:val="center"/>
              <w:rPr>
                <w:rFonts w:hint="eastAsia" w:ascii="宋体" w:hAnsi="宋体" w:cs="宋体"/>
                <w:b/>
                <w:bCs/>
                <w:szCs w:val="21"/>
              </w:rPr>
            </w:pPr>
            <w:r>
              <w:rPr>
                <w:rFonts w:hint="eastAsia" w:ascii="宋体" w:hAnsi="宋体" w:cs="宋体"/>
                <w:szCs w:val="21"/>
              </w:rPr>
              <w:t>8</w:t>
            </w:r>
          </w:p>
        </w:tc>
        <w:tc>
          <w:tcPr>
            <w:tcW w:w="536" w:type="pct"/>
            <w:vAlign w:val="center"/>
          </w:tcPr>
          <w:p w14:paraId="3AF8A9CE">
            <w:pPr>
              <w:jc w:val="center"/>
              <w:rPr>
                <w:rFonts w:hint="eastAsia" w:ascii="宋体" w:hAnsi="宋体" w:cs="宋体"/>
                <w:szCs w:val="21"/>
              </w:rPr>
            </w:pPr>
            <w:r>
              <w:rPr>
                <w:rFonts w:hint="eastAsia" w:ascii="宋体" w:hAnsi="宋体" w:cs="宋体"/>
                <w:szCs w:val="21"/>
              </w:rPr>
              <w:t>电池包组装实训台智能化教学系统</w:t>
            </w:r>
          </w:p>
        </w:tc>
        <w:tc>
          <w:tcPr>
            <w:tcW w:w="3571" w:type="pct"/>
            <w:vAlign w:val="center"/>
          </w:tcPr>
          <w:p w14:paraId="7097064B">
            <w:pPr>
              <w:pStyle w:val="17"/>
              <w:shd w:val="clear" w:color="auto" w:fill="FFFFFF"/>
              <w:ind w:left="105" w:leftChars="50"/>
              <w:rPr>
                <w:rFonts w:hint="eastAsia" w:ascii="宋体" w:hAnsi="宋体" w:cs="宋体"/>
                <w:kern w:val="2"/>
                <w:sz w:val="21"/>
                <w:szCs w:val="21"/>
              </w:rPr>
            </w:pPr>
            <w:r>
              <w:rPr>
                <w:rFonts w:hint="eastAsia" w:ascii="宋体" w:hAnsi="宋体" w:cs="宋体"/>
                <w:sz w:val="21"/>
                <w:szCs w:val="21"/>
              </w:rPr>
              <w:t>一、软件要求：</w:t>
            </w:r>
            <w:r>
              <w:rPr>
                <w:rFonts w:hint="eastAsia" w:ascii="宋体" w:hAnsi="宋体" w:cs="宋体"/>
                <w:sz w:val="21"/>
                <w:szCs w:val="21"/>
              </w:rPr>
              <w:br w:type="textWrapping"/>
            </w:r>
            <w:r>
              <w:rPr>
                <w:rFonts w:hint="eastAsia" w:ascii="宋体" w:hAnsi="宋体" w:cs="宋体"/>
                <w:sz w:val="21"/>
                <w:szCs w:val="21"/>
              </w:rPr>
              <w:t>采用C/S架构开发，软件为单机版。该软件结合教学硬件配套开发，需与下位机同步实现。技术平台配置可视化图文界面，可实时采集下位机硬件的动态数据，对电池管理系统进行参数设置。便于学生对电池包组装实训设备知识的掌握和了解。</w:t>
            </w:r>
            <w:r>
              <w:rPr>
                <w:rFonts w:hint="eastAsia" w:ascii="宋体" w:hAnsi="宋体" w:cs="宋体"/>
                <w:sz w:val="21"/>
                <w:szCs w:val="21"/>
              </w:rPr>
              <w:br w:type="textWrapping"/>
            </w:r>
            <w:r>
              <w:rPr>
                <w:rFonts w:hint="eastAsia" w:ascii="宋体" w:hAnsi="宋体" w:cs="宋体"/>
                <w:sz w:val="21"/>
                <w:szCs w:val="21"/>
              </w:rPr>
              <w:t>二、技术要求：</w:t>
            </w:r>
            <w:r>
              <w:rPr>
                <w:rFonts w:hint="eastAsia" w:ascii="宋体" w:hAnsi="宋体" w:cs="宋体"/>
                <w:sz w:val="21"/>
                <w:szCs w:val="21"/>
              </w:rPr>
              <w:br w:type="textWrapping"/>
            </w:r>
            <w:r>
              <w:rPr>
                <w:rFonts w:hint="eastAsia" w:ascii="宋体" w:hAnsi="宋体" w:cs="宋体"/>
                <w:sz w:val="21"/>
                <w:szCs w:val="21"/>
              </w:rPr>
              <w:t>1.CPU: Intel(R) Core(TM)i3-7100T以上</w:t>
            </w:r>
            <w:r>
              <w:rPr>
                <w:rFonts w:hint="eastAsia" w:ascii="宋体" w:hAnsi="宋体" w:cs="宋体"/>
                <w:sz w:val="21"/>
                <w:szCs w:val="21"/>
              </w:rPr>
              <w:br w:type="textWrapping"/>
            </w:r>
            <w:r>
              <w:rPr>
                <w:rFonts w:hint="eastAsia" w:ascii="宋体" w:hAnsi="宋体" w:cs="宋体"/>
                <w:sz w:val="21"/>
                <w:szCs w:val="21"/>
              </w:rPr>
              <w:t>2.内存：DDR3 4G 以上</w:t>
            </w:r>
            <w:r>
              <w:rPr>
                <w:rFonts w:hint="eastAsia" w:ascii="宋体" w:hAnsi="宋体" w:cs="宋体"/>
                <w:sz w:val="21"/>
                <w:szCs w:val="21"/>
              </w:rPr>
              <w:br w:type="textWrapping"/>
            </w:r>
            <w:r>
              <w:rPr>
                <w:rFonts w:hint="eastAsia" w:ascii="宋体" w:hAnsi="宋体" w:cs="宋体"/>
                <w:sz w:val="21"/>
                <w:szCs w:val="21"/>
              </w:rPr>
              <w:t>3.操作系统：Windows 7  64bit 以上</w:t>
            </w:r>
            <w:r>
              <w:rPr>
                <w:rFonts w:hint="eastAsia" w:ascii="宋体" w:hAnsi="宋体" w:cs="宋体"/>
                <w:sz w:val="21"/>
                <w:szCs w:val="21"/>
              </w:rPr>
              <w:br w:type="textWrapping"/>
            </w:r>
            <w:r>
              <w:rPr>
                <w:rFonts w:hint="eastAsia" w:ascii="宋体" w:hAnsi="宋体" w:cs="宋体"/>
                <w:sz w:val="21"/>
                <w:szCs w:val="21"/>
              </w:rPr>
              <w:t>4.硬盘：20G以上</w:t>
            </w:r>
            <w:r>
              <w:rPr>
                <w:rFonts w:hint="eastAsia" w:ascii="宋体" w:hAnsi="宋体" w:cs="宋体"/>
                <w:sz w:val="21"/>
                <w:szCs w:val="21"/>
              </w:rPr>
              <w:br w:type="textWrapping"/>
            </w:r>
            <w:r>
              <w:rPr>
                <w:rFonts w:hint="eastAsia" w:ascii="宋体" w:hAnsi="宋体" w:cs="宋体"/>
                <w:sz w:val="21"/>
                <w:szCs w:val="21"/>
              </w:rPr>
              <w:t>5.屏幕分辨率：1920X1080</w:t>
            </w:r>
            <w:r>
              <w:rPr>
                <w:rFonts w:hint="eastAsia" w:ascii="宋体" w:hAnsi="宋体" w:cs="宋体"/>
                <w:sz w:val="21"/>
                <w:szCs w:val="21"/>
              </w:rPr>
              <w:br w:type="textWrapping"/>
            </w:r>
            <w:r>
              <w:rPr>
                <w:rFonts w:hint="eastAsia" w:ascii="宋体" w:hAnsi="宋体" w:cs="宋体"/>
                <w:sz w:val="21"/>
                <w:szCs w:val="21"/>
              </w:rPr>
              <w:t>三、功能要求：</w:t>
            </w:r>
            <w:r>
              <w:rPr>
                <w:rFonts w:hint="eastAsia" w:ascii="宋体" w:hAnsi="宋体" w:cs="宋体"/>
                <w:sz w:val="21"/>
                <w:szCs w:val="21"/>
              </w:rPr>
              <w:br w:type="textWrapping"/>
            </w:r>
            <w:r>
              <w:rPr>
                <w:rFonts w:hint="eastAsia" w:ascii="宋体" w:hAnsi="宋体" w:cs="宋体"/>
                <w:sz w:val="21"/>
                <w:szCs w:val="21"/>
              </w:rPr>
              <w:t>该软件配置可视化图文界面，可实时采集电池管理系统的动态数据和对电池管理系统进行参数设置，并支持对电池管理系统更新升级和关键数据保存打印功能。</w:t>
            </w:r>
            <w:r>
              <w:rPr>
                <w:rFonts w:hint="eastAsia" w:ascii="宋体" w:hAnsi="宋体" w:cs="宋体"/>
                <w:sz w:val="21"/>
                <w:szCs w:val="21"/>
              </w:rPr>
              <w:br w:type="textWrapping"/>
            </w:r>
            <w:r>
              <w:rPr>
                <w:rFonts w:hint="eastAsia" w:ascii="宋体" w:hAnsi="宋体" w:cs="宋体"/>
                <w:sz w:val="21"/>
                <w:szCs w:val="21"/>
              </w:rPr>
              <w:t>上位机软件主要分为7个模块，分别为：高压版模块、电池包模块、电池电压模块、HBMU配置模块、通讯故障模块、输入输出模块和实时数据模块。</w:t>
            </w:r>
            <w:r>
              <w:rPr>
                <w:rFonts w:hint="eastAsia" w:ascii="宋体" w:hAnsi="宋体" w:cs="宋体"/>
                <w:sz w:val="21"/>
                <w:szCs w:val="21"/>
              </w:rPr>
              <w:br w:type="textWrapping"/>
            </w:r>
            <w:r>
              <w:rPr>
                <w:rFonts w:hint="eastAsia" w:ascii="宋体" w:hAnsi="宋体" w:cs="宋体"/>
                <w:sz w:val="21"/>
                <w:szCs w:val="21"/>
              </w:rPr>
              <w:t>（1）高压板模块：可实时显示电池包放电电流、充电电流、总电压、绝缘电阻值、SOC值、电池包最高电压组、电池包最低电压组、电压差、电池组平均电压、充电机充电状态等信息，界面配有指针显示表和电池包电量显示动画。</w:t>
            </w:r>
            <w:r>
              <w:rPr>
                <w:rFonts w:hint="eastAsia" w:ascii="宋体" w:hAnsi="宋体" w:cs="宋体"/>
                <w:sz w:val="21"/>
                <w:szCs w:val="21"/>
              </w:rPr>
              <w:br w:type="textWrapping"/>
            </w:r>
            <w:r>
              <w:rPr>
                <w:rFonts w:hint="eastAsia" w:ascii="宋体" w:hAnsi="宋体" w:cs="宋体"/>
                <w:sz w:val="21"/>
                <w:szCs w:val="21"/>
              </w:rPr>
              <w:t>（2）电池包模块：可实时显示电池包内所有温度传感器数值并列出最高温度值和最低温度值。</w:t>
            </w:r>
            <w:r>
              <w:rPr>
                <w:rFonts w:hint="eastAsia" w:ascii="宋体" w:hAnsi="宋体" w:cs="宋体"/>
                <w:sz w:val="21"/>
                <w:szCs w:val="21"/>
              </w:rPr>
              <w:br w:type="textWrapping"/>
            </w:r>
            <w:r>
              <w:rPr>
                <w:rFonts w:hint="eastAsia" w:ascii="宋体" w:hAnsi="宋体" w:cs="宋体"/>
                <w:sz w:val="21"/>
                <w:szCs w:val="21"/>
              </w:rPr>
              <w:t>（3）电池电压模块：实时显示电池包内2个电池组中单体电池电压值，每个电池组下方列出电池组的电压平均值，使用红色条框标识出每个电池组中最大电压值，使用蓝色条框标识出每个电池组中最小电压值，使用红色圆点标识出每个电池组中处于均衡状态的单体电池。</w:t>
            </w:r>
            <w:r>
              <w:rPr>
                <w:rFonts w:hint="eastAsia" w:ascii="宋体" w:hAnsi="宋体" w:cs="宋体"/>
                <w:sz w:val="21"/>
                <w:szCs w:val="21"/>
              </w:rPr>
              <w:br w:type="textWrapping"/>
            </w:r>
            <w:r>
              <w:rPr>
                <w:rFonts w:hint="eastAsia" w:ascii="宋体" w:hAnsi="宋体" w:cs="宋体"/>
                <w:sz w:val="21"/>
                <w:szCs w:val="21"/>
              </w:rPr>
              <w:t>（4）HBMU配置模块：可下载出现有BMU中的版本信息、电池编号、温度传感器编号、电池组板号、故障信息、充电机工作设置、充电机配置信息、预充设置、电池容量、单体电池过压报警阈值、短路电流报警阈值等71项内容。为方便教学及对BMS学习系统特定开放了部分可设定选项如单体电池欠压报警一级阈值、总电压欠压报警阈值、SOC过低报警阈值、单体动态电压差报警阈值、系统温度差报警阈值。</w:t>
            </w:r>
            <w:r>
              <w:rPr>
                <w:rFonts w:hint="eastAsia" w:ascii="宋体" w:hAnsi="宋体" w:cs="宋体"/>
                <w:sz w:val="21"/>
                <w:szCs w:val="21"/>
              </w:rPr>
              <w:br w:type="textWrapping"/>
            </w:r>
            <w:r>
              <w:rPr>
                <w:rFonts w:hint="eastAsia" w:ascii="宋体" w:hAnsi="宋体" w:cs="宋体"/>
                <w:sz w:val="21"/>
                <w:szCs w:val="21"/>
              </w:rPr>
              <w:t>（5）通讯故障模块：可实时显示电池组中各模块间通讯状态如电池组通讯状态、HMU通讯状态、充电机通讯状态、HVU通讯状态等，正常通讯时均显示为绿色有故障状态下显示为红色。</w:t>
            </w:r>
            <w:r>
              <w:rPr>
                <w:rFonts w:hint="eastAsia" w:ascii="宋体" w:hAnsi="宋体" w:cs="宋体"/>
                <w:sz w:val="21"/>
                <w:szCs w:val="21"/>
              </w:rPr>
              <w:br w:type="textWrapping"/>
            </w:r>
            <w:r>
              <w:rPr>
                <w:rFonts w:hint="eastAsia" w:ascii="宋体" w:hAnsi="宋体" w:cs="宋体"/>
                <w:sz w:val="21"/>
                <w:szCs w:val="21"/>
              </w:rPr>
              <w:t>四、实训要求</w:t>
            </w:r>
            <w:r>
              <w:rPr>
                <w:rFonts w:hint="eastAsia" w:ascii="宋体" w:hAnsi="宋体" w:cs="宋体"/>
                <w:sz w:val="21"/>
                <w:szCs w:val="21"/>
              </w:rPr>
              <w:br w:type="textWrapping"/>
            </w:r>
            <w:r>
              <w:rPr>
                <w:rFonts w:hint="eastAsia" w:ascii="宋体" w:hAnsi="宋体" w:cs="宋体"/>
                <w:sz w:val="21"/>
                <w:szCs w:val="21"/>
              </w:rPr>
              <w:t>1.高压电池包绝缘检测；</w:t>
            </w:r>
            <w:r>
              <w:rPr>
                <w:rFonts w:hint="eastAsia" w:ascii="宋体" w:hAnsi="宋体" w:cs="宋体"/>
                <w:sz w:val="21"/>
                <w:szCs w:val="21"/>
              </w:rPr>
              <w:br w:type="textWrapping"/>
            </w:r>
            <w:r>
              <w:rPr>
                <w:rFonts w:hint="eastAsia" w:ascii="宋体" w:hAnsi="宋体" w:cs="宋体"/>
                <w:sz w:val="21"/>
                <w:szCs w:val="21"/>
              </w:rPr>
              <w:t>2.锂电池特性测量；</w:t>
            </w:r>
            <w:r>
              <w:rPr>
                <w:rFonts w:hint="eastAsia" w:ascii="宋体" w:hAnsi="宋体" w:cs="宋体"/>
                <w:sz w:val="21"/>
                <w:szCs w:val="21"/>
              </w:rPr>
              <w:br w:type="textWrapping"/>
            </w:r>
            <w:r>
              <w:rPr>
                <w:rFonts w:hint="eastAsia" w:ascii="宋体" w:hAnsi="宋体" w:cs="宋体"/>
                <w:sz w:val="21"/>
                <w:szCs w:val="21"/>
              </w:rPr>
              <w:t>3.BMS电池管理系统功能参数标定。</w:t>
            </w:r>
            <w:r>
              <w:rPr>
                <w:rFonts w:hint="eastAsia" w:ascii="宋体" w:hAnsi="宋体" w:cs="宋体"/>
                <w:sz w:val="21"/>
                <w:szCs w:val="21"/>
              </w:rPr>
              <w:br w:type="textWrapping"/>
            </w:r>
            <w:r>
              <w:rPr>
                <w:rFonts w:hint="eastAsia" w:ascii="宋体" w:hAnsi="宋体" w:cs="宋体"/>
                <w:sz w:val="21"/>
                <w:szCs w:val="21"/>
              </w:rPr>
              <w:t>五、电池包组装实训台实训指导书技术要求：</w:t>
            </w:r>
            <w:r>
              <w:rPr>
                <w:rFonts w:hint="eastAsia" w:ascii="宋体" w:hAnsi="宋体" w:cs="宋体"/>
                <w:sz w:val="21"/>
                <w:szCs w:val="21"/>
              </w:rPr>
              <w:br w:type="textWrapping"/>
            </w:r>
            <w:r>
              <w:rPr>
                <w:rFonts w:hint="eastAsia" w:ascii="宋体" w:hAnsi="宋体" w:cs="宋体"/>
                <w:sz w:val="21"/>
                <w:szCs w:val="21"/>
              </w:rPr>
              <w:t>1、通过图文展示描述的方式，对电池包的各个零部件的位置、工作原理和典型故障分析。本书通过设置5个学习任务，任务涵盖单体电池的检测、电池组的组装、BMS系统调试、BMS系统传感器检测和电池系统故障诊断等多个系统，可使学生充分学习理解电动汽车的组成和工作过程。</w:t>
            </w:r>
            <w:r>
              <w:rPr>
                <w:rFonts w:hint="eastAsia" w:ascii="宋体" w:hAnsi="宋体" w:cs="宋体"/>
                <w:sz w:val="21"/>
                <w:szCs w:val="21"/>
              </w:rPr>
              <w:br w:type="textWrapping"/>
            </w:r>
            <w:r>
              <w:rPr>
                <w:rFonts w:hint="eastAsia" w:ascii="宋体" w:hAnsi="宋体" w:cs="宋体"/>
                <w:sz w:val="21"/>
                <w:szCs w:val="21"/>
              </w:rPr>
              <w:t>2、每个学习任务开篇标有此任务的学习目标，和建议学时，方便教师把控在教学过程中对重难点内容的讲解和对课程时间分配的掌握。</w:t>
            </w:r>
            <w:r>
              <w:rPr>
                <w:rFonts w:hint="eastAsia" w:ascii="宋体" w:hAnsi="宋体" w:cs="宋体"/>
                <w:sz w:val="21"/>
                <w:szCs w:val="21"/>
              </w:rPr>
              <w:br w:type="textWrapping"/>
            </w:r>
            <w:r>
              <w:rPr>
                <w:rFonts w:hint="eastAsia" w:ascii="宋体" w:hAnsi="宋体" w:cs="宋体"/>
                <w:sz w:val="21"/>
                <w:szCs w:val="21"/>
              </w:rPr>
              <w:t>3、每个任务的“学习拓展”板块，采用文字、图片和表格的形式对知识点进行讲解，从技术的历史由来，到当前流行通用的技术进行原理展示和线路图分析。对当前教学任务的重点难点进行详尽的分析描述之外，还对和此部件所相关的知识内容进行扩展。让学生在学习完课内的知识内容外，还额外的掌握了更加有深度的内容，对打开学生思维、引导学生进行思考，提高学生的学习热情。</w:t>
            </w:r>
            <w:r>
              <w:rPr>
                <w:rFonts w:hint="eastAsia" w:ascii="宋体" w:hAnsi="宋体" w:cs="宋体"/>
                <w:sz w:val="21"/>
                <w:szCs w:val="21"/>
              </w:rPr>
              <w:br w:type="textWrapping"/>
            </w:r>
            <w:r>
              <w:rPr>
                <w:rFonts w:hint="eastAsia" w:ascii="宋体" w:hAnsi="宋体" w:cs="宋体"/>
                <w:sz w:val="21"/>
                <w:szCs w:val="21"/>
              </w:rPr>
              <w:t>4、在对理论内容讲解完成后，还设置了课程实训版块，版块内采用文字、图片和表格的形式对所学内容进行实训。图片采用实车、实表拍摄，保证图片内容和教学过程中所使用的教学设备完全相同，充分还原了学生在实训时需要测量插头接口和测量的数据。引领学生在实践操作中找到故障并对故障进行排除。并且可以学会正确穿戴防护设备和工具的使用。</w:t>
            </w:r>
            <w:r>
              <w:rPr>
                <w:rFonts w:hint="eastAsia" w:ascii="宋体" w:hAnsi="宋体" w:cs="宋体"/>
                <w:sz w:val="21"/>
                <w:szCs w:val="21"/>
              </w:rPr>
              <w:br w:type="textWrapping"/>
            </w:r>
            <w:r>
              <w:rPr>
                <w:rFonts w:hint="eastAsia" w:ascii="宋体" w:hAnsi="宋体" w:cs="宋体"/>
                <w:sz w:val="21"/>
                <w:szCs w:val="21"/>
              </w:rPr>
              <w:t>5、章节最后的自测题可以帮助学生巩固课上所学习的内容，并对课上的重难点内容进行复习，形成课前预习-课上学习-课后复习的完整的学习链。</w:t>
            </w:r>
          </w:p>
        </w:tc>
        <w:tc>
          <w:tcPr>
            <w:tcW w:w="357" w:type="pct"/>
            <w:vAlign w:val="center"/>
          </w:tcPr>
          <w:p w14:paraId="6CD96FDE">
            <w:pPr>
              <w:jc w:val="center"/>
              <w:rPr>
                <w:rFonts w:hint="eastAsia" w:ascii="宋体" w:hAnsi="宋体" w:cs="宋体"/>
                <w:szCs w:val="21"/>
              </w:rPr>
            </w:pPr>
            <w:r>
              <w:rPr>
                <w:rFonts w:hint="eastAsia" w:ascii="宋体" w:hAnsi="宋体" w:cs="宋体"/>
                <w:szCs w:val="21"/>
              </w:rPr>
              <w:t>1</w:t>
            </w:r>
          </w:p>
        </w:tc>
        <w:tc>
          <w:tcPr>
            <w:tcW w:w="341" w:type="pct"/>
            <w:vAlign w:val="center"/>
          </w:tcPr>
          <w:p w14:paraId="6CA584F7">
            <w:pPr>
              <w:jc w:val="center"/>
              <w:rPr>
                <w:rFonts w:hint="eastAsia" w:ascii="宋体" w:hAnsi="宋体" w:cs="宋体"/>
                <w:szCs w:val="21"/>
              </w:rPr>
            </w:pPr>
          </w:p>
          <w:p w14:paraId="24EAF889">
            <w:pPr>
              <w:jc w:val="center"/>
              <w:rPr>
                <w:rFonts w:hint="eastAsia" w:ascii="宋体" w:hAnsi="宋体" w:cs="宋体"/>
                <w:szCs w:val="21"/>
              </w:rPr>
            </w:pPr>
          </w:p>
          <w:p w14:paraId="654D5C89">
            <w:pPr>
              <w:jc w:val="center"/>
              <w:rPr>
                <w:rFonts w:hint="eastAsia" w:ascii="宋体" w:hAnsi="宋体" w:cs="宋体"/>
                <w:szCs w:val="21"/>
              </w:rPr>
            </w:pPr>
          </w:p>
          <w:p w14:paraId="63E3D985">
            <w:pPr>
              <w:jc w:val="center"/>
              <w:rPr>
                <w:rFonts w:hint="eastAsia" w:ascii="宋体" w:hAnsi="宋体" w:cs="宋体"/>
                <w:szCs w:val="21"/>
              </w:rPr>
            </w:pPr>
          </w:p>
          <w:p w14:paraId="371CB6C8">
            <w:pPr>
              <w:jc w:val="center"/>
              <w:rPr>
                <w:rFonts w:hint="eastAsia" w:ascii="宋体" w:hAnsi="宋体" w:cs="宋体"/>
                <w:szCs w:val="21"/>
              </w:rPr>
            </w:pPr>
            <w:r>
              <w:rPr>
                <w:rFonts w:hint="eastAsia" w:ascii="宋体" w:hAnsi="宋体" w:cs="宋体"/>
                <w:szCs w:val="21"/>
              </w:rPr>
              <w:t>套</w:t>
            </w:r>
          </w:p>
          <w:p w14:paraId="639CECF9">
            <w:pPr>
              <w:jc w:val="center"/>
              <w:rPr>
                <w:rFonts w:hint="eastAsia" w:ascii="宋体" w:hAnsi="宋体" w:cs="宋体"/>
                <w:szCs w:val="21"/>
              </w:rPr>
            </w:pPr>
          </w:p>
          <w:p w14:paraId="163BEFE4">
            <w:pPr>
              <w:jc w:val="center"/>
              <w:rPr>
                <w:rFonts w:hint="eastAsia" w:ascii="宋体" w:hAnsi="宋体" w:cs="宋体"/>
                <w:szCs w:val="21"/>
              </w:rPr>
            </w:pPr>
          </w:p>
          <w:p w14:paraId="146EB2BB">
            <w:pPr>
              <w:jc w:val="center"/>
              <w:rPr>
                <w:rFonts w:hint="eastAsia" w:ascii="宋体" w:hAnsi="宋体" w:cs="宋体"/>
                <w:szCs w:val="21"/>
              </w:rPr>
            </w:pPr>
          </w:p>
          <w:p w14:paraId="75CB6C8C">
            <w:pPr>
              <w:jc w:val="center"/>
              <w:rPr>
                <w:rFonts w:hint="eastAsia" w:ascii="宋体" w:hAnsi="宋体" w:cs="宋体"/>
                <w:szCs w:val="21"/>
              </w:rPr>
            </w:pPr>
          </w:p>
        </w:tc>
      </w:tr>
      <w:tr w14:paraId="008B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04" w:hRule="atLeast"/>
        </w:trPr>
        <w:tc>
          <w:tcPr>
            <w:tcW w:w="193" w:type="pct"/>
            <w:vAlign w:val="center"/>
          </w:tcPr>
          <w:p w14:paraId="40CF95FA">
            <w:pPr>
              <w:jc w:val="center"/>
              <w:rPr>
                <w:rFonts w:hint="eastAsia" w:ascii="宋体" w:hAnsi="宋体" w:cs="宋体"/>
                <w:b/>
                <w:bCs/>
                <w:szCs w:val="21"/>
              </w:rPr>
            </w:pPr>
            <w:r>
              <w:rPr>
                <w:rFonts w:hint="eastAsia" w:ascii="宋体" w:hAnsi="宋体" w:cs="宋体"/>
                <w:szCs w:val="21"/>
              </w:rPr>
              <w:t>9</w:t>
            </w:r>
          </w:p>
        </w:tc>
        <w:tc>
          <w:tcPr>
            <w:tcW w:w="536" w:type="pct"/>
            <w:vAlign w:val="center"/>
          </w:tcPr>
          <w:p w14:paraId="76B96D63">
            <w:pPr>
              <w:jc w:val="center"/>
              <w:rPr>
                <w:rFonts w:hint="eastAsia" w:ascii="宋体" w:hAnsi="宋体" w:cs="宋体"/>
                <w:kern w:val="0"/>
                <w:szCs w:val="21"/>
              </w:rPr>
            </w:pPr>
            <w:r>
              <w:rPr>
                <w:rFonts w:hint="eastAsia" w:ascii="宋体" w:hAnsi="宋体" w:cs="宋体"/>
                <w:szCs w:val="21"/>
              </w:rPr>
              <w:t>交互式高压配电实训系统</w:t>
            </w:r>
          </w:p>
        </w:tc>
        <w:tc>
          <w:tcPr>
            <w:tcW w:w="3571" w:type="pct"/>
            <w:vAlign w:val="center"/>
          </w:tcPr>
          <w:p w14:paraId="42A65970">
            <w:pPr>
              <w:ind w:left="105" w:leftChars="50"/>
              <w:jc w:val="left"/>
              <w:rPr>
                <w:rFonts w:hint="eastAsia" w:ascii="宋体" w:hAnsi="宋体" w:cs="宋体"/>
                <w:kern w:val="0"/>
                <w:szCs w:val="21"/>
              </w:rPr>
            </w:pPr>
            <w:r>
              <w:rPr>
                <w:rFonts w:hint="eastAsia" w:ascii="宋体" w:hAnsi="宋体" w:cs="宋体"/>
                <w:szCs w:val="21"/>
              </w:rPr>
              <w:t xml:space="preserve">一、产品组成要求： </w:t>
            </w:r>
            <w:r>
              <w:rPr>
                <w:rFonts w:hint="eastAsia" w:ascii="宋体" w:hAnsi="宋体" w:cs="宋体"/>
                <w:szCs w:val="21"/>
              </w:rPr>
              <w:br w:type="textWrapping"/>
            </w:r>
            <w:r>
              <w:rPr>
                <w:rFonts w:hint="eastAsia" w:ascii="宋体" w:hAnsi="宋体" w:cs="宋体"/>
                <w:szCs w:val="21"/>
              </w:rPr>
              <w:t>1、操作面板：原理图检测面板、点火开关、急停开关、高压配电箱、交流充电桩、空气开关、调速旋钮、高压检测孔、高压护锁检测孔、高压维修开关、交流充电插座用于供电及接地检测，整体电网供电都采用低压交流36V，防止学生在测量过程中产生触电危险；</w:t>
            </w:r>
            <w:r>
              <w:rPr>
                <w:rFonts w:hint="eastAsia" w:ascii="宋体" w:hAnsi="宋体" w:cs="宋体"/>
                <w:szCs w:val="21"/>
              </w:rPr>
              <w:br w:type="textWrapping"/>
            </w:r>
            <w:r>
              <w:rPr>
                <w:rFonts w:hint="eastAsia" w:ascii="宋体" w:hAnsi="宋体" w:cs="宋体"/>
                <w:szCs w:val="21"/>
              </w:rPr>
              <w:t>2、台架：ABS吸塑工艺壳体、抽屉桌面、万向锁止脚轮；</w:t>
            </w:r>
            <w:r>
              <w:rPr>
                <w:rFonts w:hint="eastAsia" w:ascii="宋体" w:hAnsi="宋体" w:cs="宋体"/>
                <w:szCs w:val="21"/>
              </w:rPr>
              <w:br w:type="textWrapping"/>
            </w:r>
            <w:r>
              <w:rPr>
                <w:rFonts w:hint="eastAsia" w:ascii="宋体" w:hAnsi="宋体" w:cs="宋体"/>
                <w:szCs w:val="21"/>
              </w:rPr>
              <w:t>3、电脑：高强度伸缩臂、21.5寸 2G内存 硬盘固态32G 电容触摸屏一体机、高压安全实训台控制软件。</w:t>
            </w:r>
            <w:r>
              <w:rPr>
                <w:rFonts w:hint="eastAsia" w:ascii="宋体" w:hAnsi="宋体" w:cs="宋体"/>
                <w:szCs w:val="21"/>
              </w:rPr>
              <w:br w:type="textWrapping"/>
            </w:r>
            <w:r>
              <w:rPr>
                <w:rFonts w:hint="eastAsia" w:ascii="宋体" w:hAnsi="宋体" w:cs="宋体"/>
                <w:szCs w:val="21"/>
              </w:rPr>
              <w:t xml:space="preserve">二、产品规格要求： </w:t>
            </w:r>
            <w:r>
              <w:rPr>
                <w:rFonts w:hint="eastAsia" w:ascii="宋体" w:hAnsi="宋体" w:cs="宋体"/>
                <w:szCs w:val="21"/>
              </w:rPr>
              <w:br w:type="textWrapping"/>
            </w:r>
            <w:r>
              <w:rPr>
                <w:rFonts w:hint="eastAsia" w:ascii="宋体" w:hAnsi="宋体" w:cs="宋体"/>
                <w:szCs w:val="21"/>
              </w:rPr>
              <w:t>台架尺寸（长*宽*高）：长（1800-1900 mm）*宽（600-700mm）*高（1900-2000 mm）</w:t>
            </w:r>
            <w:r>
              <w:rPr>
                <w:rFonts w:hint="eastAsia" w:ascii="宋体" w:hAnsi="宋体" w:cs="宋体"/>
                <w:szCs w:val="21"/>
              </w:rPr>
              <w:br w:type="textWrapping"/>
            </w:r>
            <w:r>
              <w:rPr>
                <w:rFonts w:hint="eastAsia" w:ascii="宋体" w:hAnsi="宋体" w:cs="宋体"/>
                <w:szCs w:val="21"/>
              </w:rPr>
              <w:t>三、产品功能要求：</w:t>
            </w:r>
            <w:r>
              <w:rPr>
                <w:rFonts w:hint="eastAsia" w:ascii="宋体" w:hAnsi="宋体" w:cs="宋体"/>
                <w:szCs w:val="21"/>
              </w:rPr>
              <w:br w:type="textWrapping"/>
            </w:r>
            <w:r>
              <w:rPr>
                <w:rFonts w:hint="eastAsia" w:ascii="宋体" w:hAnsi="宋体" w:cs="宋体"/>
                <w:szCs w:val="21"/>
              </w:rPr>
              <w:t>1、实训台面板上绘制出纯电动汽车高压系统连接的示意图，高压电网示意图，便于学员更加了解纯电动汽车高压系统工作原理和故障分析；</w:t>
            </w:r>
            <w:r>
              <w:rPr>
                <w:rFonts w:hint="eastAsia" w:ascii="宋体" w:hAnsi="宋体" w:cs="宋体"/>
                <w:szCs w:val="21"/>
              </w:rPr>
              <w:br w:type="textWrapping"/>
            </w:r>
            <w:r>
              <w:rPr>
                <w:rFonts w:hint="eastAsia" w:ascii="宋体" w:hAnsi="宋体" w:cs="宋体"/>
                <w:szCs w:val="21"/>
              </w:rPr>
              <w:t>2、实训台上配置高压配电箱，配线箱内安装驱动电机控制器正极接触器负极接触器、预充接触器、预充电阻、放电保险丝、空调压缩机接触器、PTC加热接触器、DC/DC供电接触器、交流充电接触器、直流充电接触器，高压配线箱内所有接触器完全按照纯电动汽车高压控制逻辑工作；</w:t>
            </w:r>
            <w:r>
              <w:rPr>
                <w:rFonts w:hint="eastAsia" w:ascii="宋体" w:hAnsi="宋体" w:cs="宋体"/>
                <w:szCs w:val="21"/>
              </w:rPr>
              <w:br w:type="textWrapping"/>
            </w:r>
            <w:r>
              <w:rPr>
                <w:rFonts w:hint="eastAsia" w:ascii="宋体" w:hAnsi="宋体" w:cs="宋体"/>
                <w:szCs w:val="21"/>
              </w:rPr>
              <w:t>3、实训面板上各条高压线均设有检测端子用于检测高压系统工作电压信号， 所有高压线路上均使用直流24V电压替代，以免在实训测量过程中发生触电危险；</w:t>
            </w:r>
            <w:r>
              <w:rPr>
                <w:rFonts w:hint="eastAsia" w:ascii="宋体" w:hAnsi="宋体" w:cs="宋体"/>
                <w:szCs w:val="21"/>
              </w:rPr>
              <w:br w:type="textWrapping"/>
            </w:r>
            <w:r>
              <w:rPr>
                <w:rFonts w:hint="eastAsia" w:ascii="宋体" w:hAnsi="宋体" w:cs="宋体"/>
                <w:szCs w:val="21"/>
              </w:rPr>
              <w:t>4、面板原理图上安装各高压控制模块高压护锁检测孔，真实展示高压护锁在高压系统中的作用；</w:t>
            </w:r>
            <w:r>
              <w:rPr>
                <w:rFonts w:hint="eastAsia" w:ascii="宋体" w:hAnsi="宋体" w:cs="宋体"/>
                <w:szCs w:val="21"/>
              </w:rPr>
              <w:br w:type="textWrapping"/>
            </w:r>
            <w:r>
              <w:rPr>
                <w:rFonts w:hint="eastAsia" w:ascii="宋体" w:hAnsi="宋体" w:cs="宋体"/>
                <w:szCs w:val="21"/>
              </w:rPr>
              <w:t>5、实训台配备一台3.3千瓦的交流充电桩并展示交流充电桩内部构造，充电桩可连接高压操作安全实训台完成交流充电工作逻辑展示及交流充电过程中高压系统信号测量；</w:t>
            </w:r>
            <w:r>
              <w:rPr>
                <w:rFonts w:hint="eastAsia" w:ascii="宋体" w:hAnsi="宋体" w:cs="宋体"/>
                <w:szCs w:val="21"/>
              </w:rPr>
              <w:br w:type="textWrapping"/>
            </w:r>
            <w:r>
              <w:rPr>
                <w:rFonts w:hint="eastAsia" w:ascii="宋体" w:hAnsi="宋体" w:cs="宋体"/>
                <w:szCs w:val="21"/>
              </w:rPr>
              <w:t>6、实训检测面板上绘制民用电网示意图在电网线路上引出检测端子，防止检测过程中发生触电危险；</w:t>
            </w:r>
            <w:r>
              <w:rPr>
                <w:rFonts w:hint="eastAsia" w:ascii="宋体" w:hAnsi="宋体" w:cs="宋体"/>
                <w:szCs w:val="21"/>
              </w:rPr>
              <w:br w:type="textWrapping"/>
            </w:r>
            <w:r>
              <w:rPr>
                <w:rFonts w:hint="eastAsia" w:ascii="宋体" w:hAnsi="宋体" w:cs="宋体"/>
                <w:szCs w:val="21"/>
              </w:rPr>
              <w:t>7、模拟电池包上安装真实MSD机械维修开关用于维修高压系统流程操作，断开MSD机械维修开关后高压安全实训系统将切断高压电，系统处于维修状态；</w:t>
            </w:r>
            <w:r>
              <w:rPr>
                <w:rFonts w:hint="eastAsia" w:ascii="宋体" w:hAnsi="宋体" w:cs="宋体"/>
                <w:szCs w:val="21"/>
              </w:rPr>
              <w:br w:type="textWrapping"/>
            </w:r>
            <w:r>
              <w:rPr>
                <w:rFonts w:hint="eastAsia" w:ascii="宋体" w:hAnsi="宋体" w:cs="宋体"/>
                <w:szCs w:val="21"/>
              </w:rPr>
              <w:t>8、电脑上安装高压安全实训台操控软件，可以和实训台联合完成上电、下电、运行、充电、空调功能演示；（投标文件中需提供上位机软件仪表显示交流充电正常的截图图片加盖投标人公章）</w:t>
            </w:r>
            <w:r>
              <w:rPr>
                <w:rFonts w:hint="eastAsia" w:ascii="宋体" w:hAnsi="宋体" w:cs="宋体"/>
                <w:szCs w:val="21"/>
              </w:rPr>
              <w:br w:type="textWrapping"/>
            </w:r>
            <w:r>
              <w:rPr>
                <w:rFonts w:hint="eastAsia" w:ascii="宋体" w:hAnsi="宋体" w:cs="宋体"/>
                <w:szCs w:val="21"/>
              </w:rPr>
              <w:t>9、双击软件“高压安全操作实训台”进入操控界面，然后点击实训台上点火开关，实训台和操控软件进行工作状态REDAY灯亮起，在操控界面下方有档位P、R、N、D档，空调制冷、PTC加热、原理展示、故障设置、直流充电、通讯信号灯RX、TX；（投标文件中需提供上位机软件P、N档位状态下高压系统工作电流走向原理图的截图图片加盖投标人公章）</w:t>
            </w:r>
            <w:r>
              <w:rPr>
                <w:rFonts w:hint="eastAsia" w:ascii="宋体" w:hAnsi="宋体" w:cs="宋体"/>
                <w:szCs w:val="21"/>
              </w:rPr>
              <w:br w:type="textWrapping"/>
            </w:r>
            <w:r>
              <w:rPr>
                <w:rFonts w:hint="eastAsia" w:ascii="宋体" w:hAnsi="宋体" w:cs="宋体"/>
                <w:szCs w:val="21"/>
              </w:rPr>
              <w:t>（1）当点击R、D档按钮后，面板的上的的驱动电机会模拟实车方式以前进、后退的方向转动，面板上旋转按钮可以调节快慢，同时可以在面板上测量工作时接触器的电压值，还可以点击操控软件中“原理展示”按钮后软件界面将跳转到R、D当前工作运行状态电流的走向；（投标文件中需提供上位机软件仪表显示D挡行驶状态下的电流走向的截图图片加盖投标人公章）</w:t>
            </w:r>
            <w:r>
              <w:rPr>
                <w:rFonts w:hint="eastAsia" w:ascii="宋体" w:hAnsi="宋体" w:cs="宋体"/>
                <w:szCs w:val="21"/>
              </w:rPr>
              <w:br w:type="textWrapping"/>
            </w:r>
            <w:r>
              <w:rPr>
                <w:rFonts w:hint="eastAsia" w:ascii="宋体" w:hAnsi="宋体" w:cs="宋体"/>
                <w:szCs w:val="21"/>
              </w:rPr>
              <w:t>（2）当点击“制冷”和“加热”按钮后，制冷或加热接触器将会工作，面板中能测到工作时的电压值，然后点击“原理展示”按钮后界面将转到制冷、加热当前工作的电流走向；（投标文件中需提供上位机软件仪表显示D挡空调制冷和制冷状态的电流走向的截图图片加盖投标人公章）</w:t>
            </w:r>
            <w:r>
              <w:rPr>
                <w:rFonts w:hint="eastAsia" w:ascii="宋体" w:hAnsi="宋体" w:cs="宋体"/>
                <w:szCs w:val="21"/>
              </w:rPr>
              <w:br w:type="textWrapping"/>
            </w:r>
            <w:r>
              <w:rPr>
                <w:rFonts w:hint="eastAsia" w:ascii="宋体" w:hAnsi="宋体" w:cs="宋体"/>
                <w:szCs w:val="21"/>
              </w:rPr>
              <w:t>（3）当点击“直流充电”按钮后，仪表界面中会模拟实车显示直流充电枪和电池符号，并且电池符号充电量在动，证明充电正常，并且在面板上能测量出直流充电时接触器电压值，然后点击“原理展示”按钮后界面将转到直流充电状态的电流走向；</w:t>
            </w:r>
            <w:r>
              <w:rPr>
                <w:rFonts w:hint="eastAsia" w:ascii="宋体" w:hAnsi="宋体" w:cs="宋体"/>
                <w:szCs w:val="21"/>
              </w:rPr>
              <w:br w:type="textWrapping"/>
            </w:r>
            <w:r>
              <w:rPr>
                <w:rFonts w:hint="eastAsia" w:ascii="宋体" w:hAnsi="宋体" w:cs="宋体"/>
                <w:szCs w:val="21"/>
              </w:rPr>
              <w:t>（4）当交流充电时，把交流充电枪插上面板上的交流充电口上，电脑仪表主界面上会显示充电枪符号，代表插枪正常，然后在实训台上配置的交流充电桩上进行刷卡，仪表上显示直流充电电池符号，并且电量符号在动，充电正常，并且在面板上可以测到交流充电接触器电压值，在点击操控软件中“原理展示”按钮后软件界面将跳转到交流充电状态工作运行状态电流的走向；</w:t>
            </w:r>
            <w:r>
              <w:rPr>
                <w:rFonts w:hint="eastAsia" w:ascii="宋体" w:hAnsi="宋体" w:cs="宋体"/>
                <w:szCs w:val="21"/>
              </w:rPr>
              <w:br w:type="textWrapping"/>
            </w:r>
            <w:r>
              <w:rPr>
                <w:rFonts w:hint="eastAsia" w:ascii="宋体" w:hAnsi="宋体" w:cs="宋体"/>
                <w:szCs w:val="21"/>
              </w:rPr>
              <w:t>10.点击操控软件中“原理展示”按钮，软件界面将跳转到实训台当前运行状态下高压系统工作电流走向原理图，切换不同工作状态所展示的高压系统工作电流走向原理图会有所不同；（投标文件中需提供上位机软件仪表显示直流充电正常和直流充电状态的电流走向的截图图片加盖投标人公章）</w:t>
            </w:r>
            <w:r>
              <w:rPr>
                <w:rFonts w:hint="eastAsia" w:ascii="宋体" w:hAnsi="宋体" w:cs="宋体"/>
                <w:szCs w:val="21"/>
              </w:rPr>
              <w:br w:type="textWrapping"/>
            </w:r>
            <w:r>
              <w:rPr>
                <w:rFonts w:hint="eastAsia" w:ascii="宋体" w:hAnsi="宋体" w:cs="宋体"/>
                <w:szCs w:val="21"/>
              </w:rPr>
              <w:t>11在操作软件点击故障设置按钮，将会转到故障设置器界面主放电正继电器故障、预充继电器故障、高压漏电故障、CP故障、空调压缩机故障、PTC加热故障等10路故障可以对高压系统中各接触器设置故障也可以对民用电网和交流充电系统设置故障，并且操控主界面会出现故障警报符号，显示已有故障。所有故障类型均是纯电动汽车常见故障有利于学生对纯电动汽车高压故障的理解分析。（投标文件中需提供上位机软件故障设置界面的截图图片加盖投标人公章）</w:t>
            </w:r>
            <w:r>
              <w:rPr>
                <w:rFonts w:hint="eastAsia" w:ascii="宋体" w:hAnsi="宋体" w:cs="宋体"/>
                <w:szCs w:val="21"/>
              </w:rPr>
              <w:br w:type="textWrapping"/>
            </w:r>
            <w:r>
              <w:rPr>
                <w:rFonts w:hint="eastAsia" w:ascii="宋体" w:hAnsi="宋体" w:cs="宋体"/>
                <w:szCs w:val="21"/>
              </w:rPr>
              <w:t xml:space="preserve">四、教学及实训项目 </w:t>
            </w:r>
            <w:r>
              <w:rPr>
                <w:rFonts w:hint="eastAsia" w:ascii="宋体" w:hAnsi="宋体" w:cs="宋体"/>
                <w:szCs w:val="21"/>
              </w:rPr>
              <w:br w:type="textWrapping"/>
            </w:r>
            <w:r>
              <w:rPr>
                <w:rFonts w:hint="eastAsia" w:ascii="宋体" w:hAnsi="宋体" w:cs="宋体"/>
                <w:szCs w:val="21"/>
              </w:rPr>
              <w:t>1. 纯电动汽车高压系统的原理教学；</w:t>
            </w:r>
            <w:r>
              <w:rPr>
                <w:rFonts w:hint="eastAsia" w:ascii="宋体" w:hAnsi="宋体" w:cs="宋体"/>
                <w:szCs w:val="21"/>
              </w:rPr>
              <w:br w:type="textWrapping"/>
            </w:r>
            <w:r>
              <w:rPr>
                <w:rFonts w:hint="eastAsia" w:ascii="宋体" w:hAnsi="宋体" w:cs="宋体"/>
                <w:szCs w:val="21"/>
              </w:rPr>
              <w:t>2. 纯电动汽车高压系统各零部件和高压电网示意图的认知；</w:t>
            </w:r>
            <w:r>
              <w:rPr>
                <w:rFonts w:hint="eastAsia" w:ascii="宋体" w:hAnsi="宋体" w:cs="宋体"/>
                <w:szCs w:val="21"/>
              </w:rPr>
              <w:br w:type="textWrapping"/>
            </w:r>
            <w:r>
              <w:rPr>
                <w:rFonts w:hint="eastAsia" w:ascii="宋体" w:hAnsi="宋体" w:cs="宋体"/>
                <w:szCs w:val="21"/>
              </w:rPr>
              <w:t>3. 高压电网和纯电动汽车高压的测量。</w:t>
            </w:r>
            <w:r>
              <w:rPr>
                <w:rFonts w:hint="eastAsia" w:ascii="宋体" w:hAnsi="宋体" w:cs="宋体"/>
                <w:szCs w:val="21"/>
              </w:rPr>
              <w:br w:type="textWrapping"/>
            </w:r>
            <w:r>
              <w:rPr>
                <w:rFonts w:hint="eastAsia" w:ascii="宋体" w:hAnsi="宋体" w:cs="宋体"/>
                <w:szCs w:val="21"/>
              </w:rPr>
              <w:t>4. 高压电网 充电桩 纯电动车高压部分充电关系；</w:t>
            </w:r>
            <w:r>
              <w:rPr>
                <w:rFonts w:hint="eastAsia" w:ascii="宋体" w:hAnsi="宋体" w:cs="宋体"/>
                <w:szCs w:val="21"/>
              </w:rPr>
              <w:br w:type="textWrapping"/>
            </w:r>
            <w:r>
              <w:rPr>
                <w:rFonts w:hint="eastAsia" w:ascii="宋体" w:hAnsi="宋体" w:cs="宋体"/>
                <w:szCs w:val="21"/>
              </w:rPr>
              <w:t>5. 高压系统绝缘测量；</w:t>
            </w:r>
            <w:r>
              <w:rPr>
                <w:rFonts w:hint="eastAsia" w:ascii="宋体" w:hAnsi="宋体" w:cs="宋体"/>
                <w:szCs w:val="21"/>
              </w:rPr>
              <w:br w:type="textWrapping"/>
            </w:r>
            <w:r>
              <w:rPr>
                <w:rFonts w:hint="eastAsia" w:ascii="宋体" w:hAnsi="宋体" w:cs="宋体"/>
                <w:szCs w:val="21"/>
              </w:rPr>
              <w:t>6. 高压系统常见故障分析；</w:t>
            </w:r>
            <w:r>
              <w:rPr>
                <w:rFonts w:hint="eastAsia" w:ascii="宋体" w:hAnsi="宋体" w:cs="宋体"/>
                <w:szCs w:val="21"/>
              </w:rPr>
              <w:br w:type="textWrapping"/>
            </w:r>
            <w:r>
              <w:rPr>
                <w:rFonts w:hint="eastAsia" w:ascii="宋体" w:hAnsi="宋体" w:cs="宋体"/>
                <w:szCs w:val="21"/>
              </w:rPr>
              <w:t>7. 高压系统工作模式及工作逻辑关系分析。</w:t>
            </w:r>
          </w:p>
        </w:tc>
        <w:tc>
          <w:tcPr>
            <w:tcW w:w="357" w:type="pct"/>
            <w:vAlign w:val="center"/>
          </w:tcPr>
          <w:p w14:paraId="02C1FBE0">
            <w:pPr>
              <w:jc w:val="center"/>
              <w:rPr>
                <w:rFonts w:hint="eastAsia" w:ascii="宋体" w:hAnsi="宋体" w:cs="宋体"/>
                <w:szCs w:val="21"/>
              </w:rPr>
            </w:pPr>
            <w:r>
              <w:rPr>
                <w:rFonts w:hint="eastAsia" w:ascii="宋体" w:hAnsi="宋体" w:cs="宋体"/>
                <w:szCs w:val="21"/>
              </w:rPr>
              <w:t>1</w:t>
            </w:r>
          </w:p>
        </w:tc>
        <w:tc>
          <w:tcPr>
            <w:tcW w:w="341" w:type="pct"/>
            <w:vAlign w:val="center"/>
          </w:tcPr>
          <w:p w14:paraId="66E88036">
            <w:pPr>
              <w:jc w:val="center"/>
              <w:rPr>
                <w:rFonts w:hint="eastAsia" w:ascii="宋体" w:hAnsi="宋体" w:cs="宋体"/>
                <w:szCs w:val="21"/>
              </w:rPr>
            </w:pPr>
            <w:r>
              <w:rPr>
                <w:rFonts w:hint="eastAsia" w:ascii="宋体" w:hAnsi="宋体" w:cs="宋体"/>
                <w:szCs w:val="21"/>
              </w:rPr>
              <w:t>套</w:t>
            </w:r>
          </w:p>
        </w:tc>
      </w:tr>
      <w:tr w14:paraId="2913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6" w:hRule="atLeast"/>
        </w:trPr>
        <w:tc>
          <w:tcPr>
            <w:tcW w:w="193" w:type="pct"/>
            <w:vAlign w:val="center"/>
          </w:tcPr>
          <w:p w14:paraId="04E7CC01">
            <w:pPr>
              <w:jc w:val="center"/>
              <w:rPr>
                <w:rFonts w:hint="eastAsia" w:ascii="宋体" w:hAnsi="宋体" w:cs="宋体"/>
                <w:b/>
                <w:bCs/>
                <w:szCs w:val="21"/>
              </w:rPr>
            </w:pPr>
            <w:r>
              <w:rPr>
                <w:rFonts w:hint="eastAsia" w:ascii="宋体" w:hAnsi="宋体" w:cs="宋体"/>
                <w:szCs w:val="21"/>
              </w:rPr>
              <w:t>10</w:t>
            </w:r>
          </w:p>
        </w:tc>
        <w:tc>
          <w:tcPr>
            <w:tcW w:w="536" w:type="pct"/>
            <w:vAlign w:val="center"/>
          </w:tcPr>
          <w:p w14:paraId="4B89F89D">
            <w:pPr>
              <w:pStyle w:val="80"/>
              <w:jc w:val="center"/>
              <w:rPr>
                <w:rFonts w:hint="eastAsia" w:ascii="宋体" w:hAnsi="宋体" w:cs="宋体"/>
                <w:kern w:val="0"/>
              </w:rPr>
            </w:pPr>
            <w:r>
              <w:rPr>
                <w:rFonts w:hint="eastAsia" w:ascii="宋体" w:hAnsi="宋体" w:cs="宋体"/>
              </w:rPr>
              <w:t>交互式高压配电实训台智能化教学系统</w:t>
            </w:r>
          </w:p>
        </w:tc>
        <w:tc>
          <w:tcPr>
            <w:tcW w:w="3571" w:type="pct"/>
            <w:vAlign w:val="center"/>
          </w:tcPr>
          <w:p w14:paraId="0713717E">
            <w:pPr>
              <w:pStyle w:val="80"/>
              <w:ind w:left="105" w:leftChars="50"/>
              <w:jc w:val="left"/>
              <w:rPr>
                <w:rFonts w:hint="eastAsia" w:ascii="宋体" w:hAnsi="宋体" w:cs="宋体"/>
                <w:kern w:val="0"/>
              </w:rPr>
            </w:pPr>
            <w:r>
              <w:rPr>
                <w:rFonts w:hint="eastAsia" w:ascii="宋体" w:hAnsi="宋体" w:cs="宋体"/>
              </w:rPr>
              <w:t>一、软件要求：</w:t>
            </w:r>
            <w:r>
              <w:rPr>
                <w:rFonts w:hint="eastAsia" w:ascii="宋体" w:hAnsi="宋体" w:cs="宋体"/>
              </w:rPr>
              <w:br w:type="textWrapping"/>
            </w:r>
            <w:r>
              <w:rPr>
                <w:rFonts w:hint="eastAsia" w:ascii="宋体" w:hAnsi="宋体" w:cs="宋体"/>
              </w:rPr>
              <w:t>采用C/S架构开发，软件为单机版。该软件结合教学硬件配套开发，需与下位机硬件同步实现。上位机软件配置可视化图文界面，可操控下位机硬件设备的上电、下电、运行、充电、空调制冷、PTC加热、原理展示及故障设置等功能。便于学生对纯电动汽车高压安全操作实训系统知识的掌握和了解。</w:t>
            </w:r>
            <w:r>
              <w:rPr>
                <w:rFonts w:hint="eastAsia" w:ascii="宋体" w:hAnsi="宋体" w:cs="宋体"/>
              </w:rPr>
              <w:br w:type="textWrapping"/>
            </w:r>
            <w:r>
              <w:rPr>
                <w:rFonts w:hint="eastAsia" w:ascii="宋体" w:hAnsi="宋体" w:cs="宋体"/>
              </w:rPr>
              <w:t>二、技术要求：</w:t>
            </w:r>
            <w:r>
              <w:rPr>
                <w:rFonts w:hint="eastAsia" w:ascii="宋体" w:hAnsi="宋体" w:cs="宋体"/>
              </w:rPr>
              <w:br w:type="textWrapping"/>
            </w:r>
            <w:r>
              <w:rPr>
                <w:rFonts w:hint="eastAsia" w:ascii="宋体" w:hAnsi="宋体" w:cs="宋体"/>
              </w:rPr>
              <w:t>1、CPU: Intel(R) Celeron(R) G3900T以上</w:t>
            </w:r>
            <w:r>
              <w:rPr>
                <w:rFonts w:hint="eastAsia" w:ascii="宋体" w:hAnsi="宋体" w:cs="宋体"/>
              </w:rPr>
              <w:br w:type="textWrapping"/>
            </w:r>
            <w:r>
              <w:rPr>
                <w:rFonts w:hint="eastAsia" w:ascii="宋体" w:hAnsi="宋体" w:cs="宋体"/>
              </w:rPr>
              <w:t>2、内存：DDR3 4G 以上</w:t>
            </w:r>
            <w:r>
              <w:rPr>
                <w:rFonts w:hint="eastAsia" w:ascii="宋体" w:hAnsi="宋体" w:cs="宋体"/>
              </w:rPr>
              <w:br w:type="textWrapping"/>
            </w:r>
            <w:r>
              <w:rPr>
                <w:rFonts w:hint="eastAsia" w:ascii="宋体" w:hAnsi="宋体" w:cs="宋体"/>
              </w:rPr>
              <w:t>3、操作系统：Windows 7  64bit 以上</w:t>
            </w:r>
            <w:r>
              <w:rPr>
                <w:rFonts w:hint="eastAsia" w:ascii="宋体" w:hAnsi="宋体" w:cs="宋体"/>
              </w:rPr>
              <w:br w:type="textWrapping"/>
            </w:r>
            <w:r>
              <w:rPr>
                <w:rFonts w:hint="eastAsia" w:ascii="宋体" w:hAnsi="宋体" w:cs="宋体"/>
              </w:rPr>
              <w:t>4、硬盘：32G以上</w:t>
            </w:r>
            <w:r>
              <w:rPr>
                <w:rFonts w:hint="eastAsia" w:ascii="宋体" w:hAnsi="宋体" w:cs="宋体"/>
              </w:rPr>
              <w:br w:type="textWrapping"/>
            </w:r>
            <w:r>
              <w:rPr>
                <w:rFonts w:hint="eastAsia" w:ascii="宋体" w:hAnsi="宋体" w:cs="宋体"/>
              </w:rPr>
              <w:t>5、屏幕分辨率：1920X1080</w:t>
            </w:r>
            <w:r>
              <w:rPr>
                <w:rFonts w:hint="eastAsia" w:ascii="宋体" w:hAnsi="宋体" w:cs="宋体"/>
              </w:rPr>
              <w:br w:type="textWrapping"/>
            </w:r>
            <w:r>
              <w:rPr>
                <w:rFonts w:hint="eastAsia" w:ascii="宋体" w:hAnsi="宋体" w:cs="宋体"/>
              </w:rPr>
              <w:t>6、电容触摸屏一体机</w:t>
            </w:r>
            <w:r>
              <w:rPr>
                <w:rFonts w:hint="eastAsia" w:ascii="宋体" w:hAnsi="宋体" w:cs="宋体"/>
              </w:rPr>
              <w:br w:type="textWrapping"/>
            </w:r>
            <w:r>
              <w:rPr>
                <w:rFonts w:hint="eastAsia" w:ascii="宋体" w:hAnsi="宋体" w:cs="宋体"/>
              </w:rPr>
              <w:t>三、功能要求：</w:t>
            </w:r>
            <w:r>
              <w:rPr>
                <w:rFonts w:hint="eastAsia" w:ascii="宋体" w:hAnsi="宋体" w:cs="宋体"/>
              </w:rPr>
              <w:br w:type="textWrapping"/>
            </w:r>
            <w:r>
              <w:rPr>
                <w:rFonts w:hint="eastAsia" w:ascii="宋体" w:hAnsi="宋体" w:cs="宋体"/>
              </w:rPr>
              <w:t>1、首先，进入上位机软件操控界面，然后点击实训台上点火开关，实训台和操控软件进行工作状态REDAY灯亮起时，在操控界面下方有档位P、R、N、D档，空调制冷、PTC加热、原理展示、故障设置、直流充电、通讯信号灯RX、TX等功能按键；</w:t>
            </w:r>
            <w:r>
              <w:rPr>
                <w:rFonts w:hint="eastAsia" w:ascii="宋体" w:hAnsi="宋体" w:cs="宋体"/>
              </w:rPr>
              <w:br w:type="textWrapping"/>
            </w:r>
            <w:r>
              <w:rPr>
                <w:rFonts w:hint="eastAsia" w:ascii="宋体" w:hAnsi="宋体" w:cs="宋体"/>
              </w:rPr>
              <w:t>（1）当点击R、D档按钮后，面板的上的的驱动电机会模拟实车方式以前进、后退的方向转动，面板上旋转按钮可以调节快慢，同时可以在面板上测量工作时接触器的电压值，还可以点击操控软件中“原理展示”按钮后，软件界面将跳转到R、D当前工作运行状态电流的走向；</w:t>
            </w:r>
            <w:r>
              <w:rPr>
                <w:rFonts w:hint="eastAsia" w:ascii="宋体" w:hAnsi="宋体" w:cs="宋体"/>
              </w:rPr>
              <w:br w:type="textWrapping"/>
            </w:r>
            <w:r>
              <w:rPr>
                <w:rFonts w:hint="eastAsia" w:ascii="宋体" w:hAnsi="宋体" w:cs="宋体"/>
              </w:rPr>
              <w:t>（2）当点击“制冷”和“加热”按钮后，制冷或加热接触器将会工作，面板中能测到工作时的电压值，然后点击“原理展示”按钮后，软件界面将转到制冷、加热当前工作的电流走向；</w:t>
            </w:r>
            <w:r>
              <w:rPr>
                <w:rFonts w:hint="eastAsia" w:ascii="宋体" w:hAnsi="宋体" w:cs="宋体"/>
              </w:rPr>
              <w:br w:type="textWrapping"/>
            </w:r>
            <w:r>
              <w:rPr>
                <w:rFonts w:hint="eastAsia" w:ascii="宋体" w:hAnsi="宋体" w:cs="宋体"/>
              </w:rPr>
              <w:t>（3）当点击“直流充电”按钮后，仪表界面中会模拟实车显示直流充电枪和电池符号，并且电池符号充电量在动，证明充电正常，并且在面板上能测量出直流充电时接触器电压值，然后点击“原理展示”按钮后，软件界面将转到直流充电状态的电流走向；</w:t>
            </w:r>
            <w:r>
              <w:rPr>
                <w:rFonts w:hint="eastAsia" w:ascii="宋体" w:hAnsi="宋体" w:cs="宋体"/>
              </w:rPr>
              <w:br w:type="textWrapping"/>
            </w:r>
            <w:r>
              <w:rPr>
                <w:rFonts w:hint="eastAsia" w:ascii="宋体" w:hAnsi="宋体" w:cs="宋体"/>
              </w:rPr>
              <w:t>（4）当交流充电时，把交流充电枪插上面板上的交流充电口上，电脑仪表主界面上会显示充电枪符号，代表插枪正常，然后在实训台上配置的交流充电桩上进行刷卡，仪表上显示直流充电电池符号，并且电量符号在动，充电正常，并且在面板上可以测到交流充电接触器电压值，再点击操控软件中“原理展示”按钮后，软件界面将跳转到交流充电状态工作运行状态电流的走向；</w:t>
            </w:r>
            <w:r>
              <w:rPr>
                <w:rFonts w:hint="eastAsia" w:ascii="宋体" w:hAnsi="宋体" w:cs="宋体"/>
              </w:rPr>
              <w:br w:type="textWrapping"/>
            </w:r>
            <w:r>
              <w:rPr>
                <w:rFonts w:hint="eastAsia" w:ascii="宋体" w:hAnsi="宋体" w:cs="宋体"/>
              </w:rPr>
              <w:t>2、点击操控软件中“原理展示”按钮，软件界面将跳转到实训台当前运行状态下高压系统工作电流走向原理图，切换不同工作状态所展示的高压系统工作电流走向原理图会有所不同；</w:t>
            </w:r>
            <w:r>
              <w:rPr>
                <w:rFonts w:hint="eastAsia" w:ascii="宋体" w:hAnsi="宋体" w:cs="宋体"/>
              </w:rPr>
              <w:br w:type="textWrapping"/>
            </w:r>
            <w:r>
              <w:rPr>
                <w:rFonts w:hint="eastAsia" w:ascii="宋体" w:hAnsi="宋体" w:cs="宋体"/>
              </w:rPr>
              <w:t>3、在操作软件点击故障设置按钮，将会转到故障设置器界面主放电正继电器故障、预充继电器故障、高压漏电故障、CP故障、空调压缩机故障、PTC加热故障等10路故障可以对高压系统中各接触器设置故障也可以对民用电网和交流充电系统设置故障，并且操控主界面会出现故障警报符号，显示已有故障。所有故障类型均是纯电动汽车常见故障，有利于学生对纯电动汽车高压故障的理解分析。</w:t>
            </w:r>
            <w:r>
              <w:rPr>
                <w:rFonts w:hint="eastAsia" w:ascii="宋体" w:hAnsi="宋体" w:cs="宋体"/>
              </w:rPr>
              <w:br w:type="textWrapping"/>
            </w:r>
            <w:r>
              <w:rPr>
                <w:rFonts w:hint="eastAsia" w:ascii="宋体" w:hAnsi="宋体" w:cs="宋体"/>
              </w:rPr>
              <w:t xml:space="preserve">四、实训要求： </w:t>
            </w:r>
            <w:r>
              <w:rPr>
                <w:rFonts w:hint="eastAsia" w:ascii="宋体" w:hAnsi="宋体" w:cs="宋体"/>
              </w:rPr>
              <w:br w:type="textWrapping"/>
            </w:r>
            <w:r>
              <w:rPr>
                <w:rFonts w:hint="eastAsia" w:ascii="宋体" w:hAnsi="宋体" w:cs="宋体"/>
              </w:rPr>
              <w:t>1、纯电动汽车高压系统的原理教学；</w:t>
            </w:r>
            <w:r>
              <w:rPr>
                <w:rFonts w:hint="eastAsia" w:ascii="宋体" w:hAnsi="宋体" w:cs="宋体"/>
              </w:rPr>
              <w:br w:type="textWrapping"/>
            </w:r>
            <w:r>
              <w:rPr>
                <w:rFonts w:hint="eastAsia" w:ascii="宋体" w:hAnsi="宋体" w:cs="宋体"/>
              </w:rPr>
              <w:t>2、高压电网和纯电动汽车高压的测量；</w:t>
            </w:r>
            <w:r>
              <w:rPr>
                <w:rFonts w:hint="eastAsia" w:ascii="宋体" w:hAnsi="宋体" w:cs="宋体"/>
              </w:rPr>
              <w:br w:type="textWrapping"/>
            </w:r>
            <w:r>
              <w:rPr>
                <w:rFonts w:hint="eastAsia" w:ascii="宋体" w:hAnsi="宋体" w:cs="宋体"/>
              </w:rPr>
              <w:t>3、高压系统常见故障分析。</w:t>
            </w:r>
            <w:r>
              <w:rPr>
                <w:rFonts w:hint="eastAsia" w:ascii="宋体" w:hAnsi="宋体" w:cs="宋体"/>
              </w:rPr>
              <w:br w:type="textWrapping"/>
            </w:r>
            <w:r>
              <w:rPr>
                <w:rFonts w:hint="eastAsia" w:ascii="宋体" w:hAnsi="宋体" w:cs="宋体"/>
              </w:rPr>
              <w:t>五、交互式高压配电实训台实训指导书技术要求：</w:t>
            </w:r>
            <w:r>
              <w:rPr>
                <w:rFonts w:hint="eastAsia" w:ascii="宋体" w:hAnsi="宋体" w:cs="宋体"/>
              </w:rPr>
              <w:br w:type="textWrapping"/>
            </w:r>
            <w:r>
              <w:rPr>
                <w:rFonts w:hint="eastAsia" w:ascii="宋体" w:hAnsi="宋体" w:cs="宋体"/>
              </w:rPr>
              <w:t>1、通过图文展示描述的方式，对高压安全操作系统的各个零部件的位置、工作原理和典型故障分析。本书通过设置5个学习任务，任务涵盖交流充电、预充接触器、DC/DC系统、PTC系统和空调压缩机等多个系统，可使学生充分学习理解电动汽车的组成和工作过程。</w:t>
            </w:r>
            <w:r>
              <w:rPr>
                <w:rFonts w:hint="eastAsia" w:ascii="宋体" w:hAnsi="宋体" w:cs="宋体"/>
              </w:rPr>
              <w:br w:type="textWrapping"/>
            </w:r>
            <w:r>
              <w:rPr>
                <w:rFonts w:hint="eastAsia" w:ascii="宋体" w:hAnsi="宋体" w:cs="宋体"/>
              </w:rPr>
              <w:t>2、每个学习任务开篇标有此任务的学习目标，和建议学时，方便教师把控在教学过程中对重难点内容的讲解和对课程时间分配的掌握。</w:t>
            </w:r>
            <w:r>
              <w:rPr>
                <w:rFonts w:hint="eastAsia" w:ascii="宋体" w:hAnsi="宋体" w:cs="宋体"/>
              </w:rPr>
              <w:br w:type="textWrapping"/>
            </w:r>
            <w:r>
              <w:rPr>
                <w:rFonts w:hint="eastAsia" w:ascii="宋体" w:hAnsi="宋体" w:cs="宋体"/>
              </w:rPr>
              <w:t>3、每个任务的“学习拓展”板块，采用文字、图片和表格的形式对知识点进行讲解，从技术的历史由来，到当前流行通用的技术进行原理展示和线路图分析。对当前教学任务的重点难点进行详尽的分析描述之外，还对和此部件所相关的知识内容进行扩展。让学生在学习完课内的知识内容外，还额外的掌握了更加有深度的内容，对打开学生思维、引导学生进行思考，提高学生的学习热情。</w:t>
            </w:r>
            <w:r>
              <w:rPr>
                <w:rFonts w:hint="eastAsia" w:ascii="宋体" w:hAnsi="宋体" w:cs="宋体"/>
              </w:rPr>
              <w:br w:type="textWrapping"/>
            </w:r>
            <w:r>
              <w:rPr>
                <w:rFonts w:hint="eastAsia" w:ascii="宋体" w:hAnsi="宋体" w:cs="宋体"/>
              </w:rPr>
              <w:t>4、在对理论内容讲解完成后，还设置了课程实训版块，版块内采用文字、图片和表格的形式对所学内容进行实训。图片采用实车、实表拍摄，保证图片内容和教学过程中所使用的教学设备完全相同，充分还原了学生在实训时需要测量插头接口和测量的数据。引领学生在实践操作中找到故障并对故障进行排除。并且可以学会正确穿戴防护设备和工具的使用。</w:t>
            </w:r>
            <w:r>
              <w:rPr>
                <w:rFonts w:hint="eastAsia" w:ascii="宋体" w:hAnsi="宋体" w:cs="宋体"/>
              </w:rPr>
              <w:br w:type="textWrapping"/>
            </w:r>
            <w:r>
              <w:rPr>
                <w:rFonts w:hint="eastAsia" w:ascii="宋体" w:hAnsi="宋体" w:cs="宋体"/>
              </w:rPr>
              <w:t>5、章节最后的自测题可以帮助学生巩固课上所学习的内容，并对课上的重难点内容进行复习，形成课前预习-课上学习-课后复习的完整的学习链。</w:t>
            </w:r>
          </w:p>
        </w:tc>
        <w:tc>
          <w:tcPr>
            <w:tcW w:w="357" w:type="pct"/>
            <w:vAlign w:val="center"/>
          </w:tcPr>
          <w:p w14:paraId="0FF5A9D2">
            <w:pPr>
              <w:jc w:val="center"/>
              <w:rPr>
                <w:rFonts w:hint="eastAsia" w:ascii="宋体" w:hAnsi="宋体" w:cs="宋体"/>
                <w:szCs w:val="21"/>
              </w:rPr>
            </w:pPr>
            <w:r>
              <w:rPr>
                <w:rFonts w:hint="eastAsia" w:ascii="宋体" w:hAnsi="宋体" w:cs="宋体"/>
                <w:szCs w:val="21"/>
              </w:rPr>
              <w:t>1</w:t>
            </w:r>
          </w:p>
        </w:tc>
        <w:tc>
          <w:tcPr>
            <w:tcW w:w="341" w:type="pct"/>
            <w:vAlign w:val="center"/>
          </w:tcPr>
          <w:p w14:paraId="5E8095DC">
            <w:pPr>
              <w:jc w:val="center"/>
              <w:rPr>
                <w:rFonts w:hint="eastAsia" w:ascii="宋体" w:hAnsi="宋体" w:cs="宋体"/>
                <w:szCs w:val="21"/>
              </w:rPr>
            </w:pPr>
          </w:p>
          <w:p w14:paraId="0601F816">
            <w:pPr>
              <w:jc w:val="center"/>
              <w:rPr>
                <w:rFonts w:hint="eastAsia" w:ascii="宋体" w:hAnsi="宋体" w:cs="宋体"/>
                <w:szCs w:val="21"/>
              </w:rPr>
            </w:pPr>
          </w:p>
          <w:p w14:paraId="14970B55">
            <w:pPr>
              <w:jc w:val="center"/>
              <w:rPr>
                <w:rFonts w:hint="eastAsia" w:ascii="宋体" w:hAnsi="宋体" w:cs="宋体"/>
                <w:szCs w:val="21"/>
              </w:rPr>
            </w:pPr>
            <w:r>
              <w:rPr>
                <w:rFonts w:hint="eastAsia" w:ascii="宋体" w:hAnsi="宋体" w:cs="宋体"/>
                <w:szCs w:val="21"/>
              </w:rPr>
              <w:t>套</w:t>
            </w:r>
          </w:p>
          <w:p w14:paraId="019A7D38">
            <w:pPr>
              <w:jc w:val="center"/>
              <w:rPr>
                <w:rFonts w:hint="eastAsia" w:ascii="宋体" w:hAnsi="宋体" w:cs="宋体"/>
                <w:szCs w:val="21"/>
              </w:rPr>
            </w:pPr>
          </w:p>
          <w:p w14:paraId="1EC28FCF">
            <w:pPr>
              <w:jc w:val="center"/>
              <w:rPr>
                <w:rFonts w:hint="eastAsia" w:ascii="宋体" w:hAnsi="宋体" w:cs="宋体"/>
                <w:szCs w:val="21"/>
              </w:rPr>
            </w:pPr>
          </w:p>
        </w:tc>
      </w:tr>
      <w:tr w14:paraId="2E25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73578163">
            <w:pPr>
              <w:jc w:val="center"/>
              <w:rPr>
                <w:rFonts w:hint="eastAsia" w:ascii="宋体" w:hAnsi="宋体" w:cs="宋体"/>
                <w:b/>
                <w:bCs/>
                <w:szCs w:val="21"/>
              </w:rPr>
            </w:pPr>
            <w:r>
              <w:rPr>
                <w:rFonts w:hint="eastAsia" w:ascii="宋体" w:hAnsi="宋体" w:cs="宋体"/>
                <w:szCs w:val="21"/>
              </w:rPr>
              <w:t>11</w:t>
            </w:r>
          </w:p>
        </w:tc>
        <w:tc>
          <w:tcPr>
            <w:tcW w:w="536" w:type="pct"/>
            <w:vAlign w:val="center"/>
          </w:tcPr>
          <w:p w14:paraId="7F0BB466">
            <w:pPr>
              <w:pStyle w:val="80"/>
              <w:jc w:val="center"/>
              <w:rPr>
                <w:rFonts w:hint="eastAsia" w:ascii="宋体" w:hAnsi="宋体" w:cs="宋体"/>
                <w:kern w:val="0"/>
              </w:rPr>
            </w:pPr>
            <w:r>
              <w:rPr>
                <w:rFonts w:hint="eastAsia" w:ascii="宋体" w:hAnsi="宋体" w:cs="宋体"/>
              </w:rPr>
              <w:t>新能源汽车驱动控制实训系统</w:t>
            </w:r>
          </w:p>
        </w:tc>
        <w:tc>
          <w:tcPr>
            <w:tcW w:w="3571" w:type="pct"/>
            <w:vAlign w:val="center"/>
          </w:tcPr>
          <w:p w14:paraId="7F14B831">
            <w:pPr>
              <w:pStyle w:val="80"/>
              <w:ind w:left="105" w:leftChars="50"/>
              <w:jc w:val="left"/>
              <w:rPr>
                <w:rFonts w:hint="eastAsia" w:ascii="宋体" w:hAnsi="宋体" w:cs="宋体"/>
                <w:kern w:val="0"/>
              </w:rPr>
            </w:pPr>
            <w:r>
              <w:rPr>
                <w:rFonts w:hint="eastAsia" w:ascii="宋体" w:hAnsi="宋体" w:cs="宋体"/>
              </w:rPr>
              <w:t>新能源汽车驱动控制实训系统</w:t>
            </w:r>
            <w:r>
              <w:rPr>
                <w:rFonts w:hint="eastAsia" w:ascii="宋体" w:hAnsi="宋体" w:cs="宋体"/>
              </w:rPr>
              <w:br w:type="textWrapping"/>
            </w:r>
            <w:r>
              <w:rPr>
                <w:rFonts w:hint="eastAsia" w:ascii="宋体" w:hAnsi="宋体" w:cs="宋体"/>
              </w:rPr>
              <w:t xml:space="preserve">一、产品组成 </w:t>
            </w:r>
            <w:r>
              <w:rPr>
                <w:rFonts w:hint="eastAsia" w:ascii="宋体" w:hAnsi="宋体" w:cs="宋体"/>
              </w:rPr>
              <w:br w:type="textWrapping"/>
            </w:r>
            <w:r>
              <w:rPr>
                <w:rFonts w:hint="eastAsia" w:ascii="宋体" w:hAnsi="宋体" w:cs="宋体"/>
              </w:rPr>
              <w:t>检测面板：图形式检测面板、插头式检测面板A、插头式检测面吧B；</w:t>
            </w:r>
            <w:r>
              <w:rPr>
                <w:rFonts w:hint="eastAsia" w:ascii="宋体" w:hAnsi="宋体" w:cs="宋体"/>
              </w:rPr>
              <w:br w:type="textWrapping"/>
            </w:r>
            <w:r>
              <w:rPr>
                <w:rFonts w:hint="eastAsia" w:ascii="宋体" w:hAnsi="宋体" w:cs="宋体"/>
              </w:rPr>
              <w:t>电机控制器：</w:t>
            </w:r>
            <w:r>
              <w:rPr>
                <w:rFonts w:hint="eastAsia" w:ascii="宋体" w:hAnsi="宋体" w:cs="宋体"/>
              </w:rPr>
              <w:br w:type="textWrapping"/>
            </w:r>
            <w:r>
              <w:rPr>
                <w:rFonts w:hint="eastAsia" w:ascii="宋体" w:hAnsi="宋体" w:cs="宋体"/>
              </w:rPr>
              <w:t>防护等级：IP67 结构尺寸：（470-480）*（240-255）*（105-110）mm</w:t>
            </w:r>
            <w:r>
              <w:rPr>
                <w:rFonts w:hint="eastAsia" w:ascii="宋体" w:hAnsi="宋体" w:cs="宋体"/>
              </w:rPr>
              <w:br w:type="textWrapping"/>
            </w:r>
            <w:r>
              <w:rPr>
                <w:rFonts w:hint="eastAsia" w:ascii="宋体" w:hAnsi="宋体" w:cs="宋体"/>
              </w:rPr>
              <w:t>重量：14.8KG-15.5KG 驱动器电流：570A/10S</w:t>
            </w:r>
            <w:r>
              <w:rPr>
                <w:rFonts w:hint="eastAsia" w:ascii="宋体" w:hAnsi="宋体" w:cs="宋体"/>
              </w:rPr>
              <w:br w:type="textWrapping"/>
            </w:r>
            <w:r>
              <w:rPr>
                <w:rFonts w:hint="eastAsia" w:ascii="宋体" w:hAnsi="宋体" w:cs="宋体"/>
              </w:rPr>
              <w:t>工作电压：≤450V 额定工作电压：350V</w:t>
            </w:r>
            <w:r>
              <w:rPr>
                <w:rFonts w:hint="eastAsia" w:ascii="宋体" w:hAnsi="宋体" w:cs="宋体"/>
              </w:rPr>
              <w:br w:type="textWrapping"/>
            </w:r>
            <w:r>
              <w:rPr>
                <w:rFonts w:hint="eastAsia" w:ascii="宋体" w:hAnsi="宋体" w:cs="宋体"/>
              </w:rPr>
              <w:t>冷却水最高温度：-40~75℃ 工作环境温度：-40~105℃</w:t>
            </w:r>
            <w:r>
              <w:rPr>
                <w:rFonts w:hint="eastAsia" w:ascii="宋体" w:hAnsi="宋体" w:cs="宋体"/>
              </w:rPr>
              <w:br w:type="textWrapping"/>
            </w:r>
            <w:r>
              <w:rPr>
                <w:rFonts w:hint="eastAsia" w:ascii="宋体" w:hAnsi="宋体" w:cs="宋体"/>
              </w:rPr>
              <w:t>驱动电机：</w:t>
            </w:r>
            <w:r>
              <w:rPr>
                <w:rFonts w:hint="eastAsia" w:ascii="宋体" w:hAnsi="宋体" w:cs="宋体"/>
              </w:rPr>
              <w:br w:type="textWrapping"/>
            </w:r>
            <w:r>
              <w:rPr>
                <w:rFonts w:hint="eastAsia" w:ascii="宋体" w:hAnsi="宋体" w:cs="宋体"/>
              </w:rPr>
              <w:t>防护等级：≥IP67 额定电压：346V DC</w:t>
            </w:r>
            <w:r>
              <w:rPr>
                <w:rFonts w:hint="eastAsia" w:ascii="宋体" w:hAnsi="宋体" w:cs="宋体"/>
              </w:rPr>
              <w:br w:type="textWrapping"/>
            </w:r>
            <w:r>
              <w:rPr>
                <w:rFonts w:hint="eastAsia" w:ascii="宋体" w:hAnsi="宋体" w:cs="宋体"/>
              </w:rPr>
              <w:t>持续电流：≥200A 持续功率：≥45KW</w:t>
            </w:r>
            <w:r>
              <w:rPr>
                <w:rFonts w:hint="eastAsia" w:ascii="宋体" w:hAnsi="宋体" w:cs="宋体"/>
              </w:rPr>
              <w:br w:type="textWrapping"/>
            </w:r>
            <w:r>
              <w:rPr>
                <w:rFonts w:hint="eastAsia" w:ascii="宋体" w:hAnsi="宋体" w:cs="宋体"/>
              </w:rPr>
              <w:t>峰值功率：≥90KW 持续扭矩：≥135NM</w:t>
            </w:r>
            <w:r>
              <w:rPr>
                <w:rFonts w:hint="eastAsia" w:ascii="宋体" w:hAnsi="宋体" w:cs="宋体"/>
              </w:rPr>
              <w:br w:type="textWrapping"/>
            </w:r>
            <w:r>
              <w:rPr>
                <w:rFonts w:hint="eastAsia" w:ascii="宋体" w:hAnsi="宋体" w:cs="宋体"/>
              </w:rPr>
              <w:t>峰值扭矩：≥280NM 额定转速：≥3200rpm</w:t>
            </w:r>
            <w:r>
              <w:rPr>
                <w:rFonts w:hint="eastAsia" w:ascii="宋体" w:hAnsi="宋体" w:cs="宋体"/>
              </w:rPr>
              <w:br w:type="textWrapping"/>
            </w:r>
            <w:r>
              <w:rPr>
                <w:rFonts w:hint="eastAsia" w:ascii="宋体" w:hAnsi="宋体" w:cs="宋体"/>
              </w:rPr>
              <w:t>峰值转速：≥12000rpm 最高效率：≥97.1%</w:t>
            </w:r>
            <w:r>
              <w:rPr>
                <w:rFonts w:hint="eastAsia" w:ascii="宋体" w:hAnsi="宋体" w:cs="宋体"/>
              </w:rPr>
              <w:br w:type="textWrapping"/>
            </w:r>
            <w:r>
              <w:rPr>
                <w:rFonts w:hint="eastAsia" w:ascii="宋体" w:hAnsi="宋体" w:cs="宋体"/>
              </w:rPr>
              <w:t>散热装置：冷却水泵、冷却水管、溢水壶、散热器、冷却风扇、冷却水管；</w:t>
            </w:r>
            <w:r>
              <w:rPr>
                <w:rFonts w:hint="eastAsia" w:ascii="宋体" w:hAnsi="宋体" w:cs="宋体"/>
              </w:rPr>
              <w:br w:type="textWrapping"/>
            </w:r>
            <w:r>
              <w:rPr>
                <w:rFonts w:hint="eastAsia" w:ascii="宋体" w:hAnsi="宋体" w:cs="宋体"/>
              </w:rPr>
              <w:t>制动系统:制动踏板、制动开关、制动总泵、制动分泵、制动油管、制动液壶、制动盘、外球笼、半轴、内球笼、制动专用链接盘；</w:t>
            </w:r>
            <w:r>
              <w:rPr>
                <w:rFonts w:hint="eastAsia" w:ascii="宋体" w:hAnsi="宋体" w:cs="宋体"/>
              </w:rPr>
              <w:br w:type="textWrapping"/>
            </w:r>
            <w:r>
              <w:rPr>
                <w:rFonts w:hint="eastAsia" w:ascii="宋体" w:hAnsi="宋体" w:cs="宋体"/>
              </w:rPr>
              <w:t>高压组件：高压连接线束、系统高压供电箱、漏电保护器、工业供电插头、预充电阻、预充接触器、供电正接触器、供电负接触器；</w:t>
            </w:r>
            <w:r>
              <w:rPr>
                <w:rFonts w:hint="eastAsia" w:ascii="宋体" w:hAnsi="宋体" w:cs="宋体"/>
              </w:rPr>
              <w:br w:type="textWrapping"/>
            </w:r>
            <w:r>
              <w:rPr>
                <w:rFonts w:hint="eastAsia" w:ascii="宋体" w:hAnsi="宋体" w:cs="宋体"/>
              </w:rPr>
              <w:t>电脑：高强度伸缩臂、19寸 2G内存 硬盘固态32G 电容触摸屏一体机、19寸工控触摸液晶显示器、驱动控制系统软件；</w:t>
            </w:r>
            <w:r>
              <w:rPr>
                <w:rFonts w:hint="eastAsia" w:ascii="宋体" w:hAnsi="宋体" w:cs="宋体"/>
              </w:rPr>
              <w:br w:type="textWrapping"/>
            </w:r>
            <w:r>
              <w:rPr>
                <w:rFonts w:hint="eastAsia" w:ascii="宋体" w:hAnsi="宋体" w:cs="宋体"/>
              </w:rPr>
              <w:t>通讯组件：USB转串口通讯线、周立功CAN总线分析仪；</w:t>
            </w:r>
            <w:r>
              <w:rPr>
                <w:rFonts w:hint="eastAsia" w:ascii="宋体" w:hAnsi="宋体" w:cs="宋体"/>
              </w:rPr>
              <w:br w:type="textWrapping"/>
            </w:r>
            <w:r>
              <w:rPr>
                <w:rFonts w:hint="eastAsia" w:ascii="宋体" w:hAnsi="宋体" w:cs="宋体"/>
              </w:rPr>
              <w:t>故障设置系统：20路多工能故障设置器、通讯控制主控制器。</w:t>
            </w:r>
            <w:r>
              <w:rPr>
                <w:rFonts w:hint="eastAsia" w:ascii="宋体" w:hAnsi="宋体" w:cs="宋体"/>
              </w:rPr>
              <w:br w:type="textWrapping"/>
            </w:r>
            <w:r>
              <w:rPr>
                <w:rFonts w:hint="eastAsia" w:ascii="宋体" w:hAnsi="宋体" w:cs="宋体"/>
              </w:rPr>
              <w:t xml:space="preserve">二、产品规格 </w:t>
            </w:r>
            <w:r>
              <w:rPr>
                <w:rFonts w:hint="eastAsia" w:ascii="宋体" w:hAnsi="宋体" w:cs="宋体"/>
              </w:rPr>
              <w:br w:type="textWrapping"/>
            </w:r>
            <w:r>
              <w:rPr>
                <w:rFonts w:hint="eastAsia" w:ascii="宋体" w:hAnsi="宋体" w:cs="宋体"/>
              </w:rPr>
              <w:t>台架尺寸：  （1400-14100*（1200-12100*（1400-1410） mm（长*宽*高）</w:t>
            </w:r>
            <w:r>
              <w:rPr>
                <w:rFonts w:hint="eastAsia" w:ascii="宋体" w:hAnsi="宋体" w:cs="宋体"/>
              </w:rPr>
              <w:br w:type="textWrapping"/>
            </w:r>
            <w:r>
              <w:rPr>
                <w:rFonts w:hint="eastAsia" w:ascii="宋体" w:hAnsi="宋体" w:cs="宋体"/>
              </w:rPr>
              <w:t>三、功能要求</w:t>
            </w:r>
            <w:r>
              <w:rPr>
                <w:rFonts w:hint="eastAsia" w:ascii="宋体" w:hAnsi="宋体" w:cs="宋体"/>
              </w:rPr>
              <w:br w:type="textWrapping"/>
            </w:r>
            <w:r>
              <w:rPr>
                <w:rFonts w:hint="eastAsia" w:ascii="宋体" w:hAnsi="宋体" w:cs="宋体"/>
              </w:rPr>
              <w:t>1. 模块化设计，稳定可靠：设备采用模块化设计原则，使用方便，配置灵活，配备控制器后台监控软件可随时对控制器控制策略升级更改；</w:t>
            </w:r>
            <w:r>
              <w:rPr>
                <w:rFonts w:hint="eastAsia" w:ascii="宋体" w:hAnsi="宋体" w:cs="宋体"/>
              </w:rPr>
              <w:br w:type="textWrapping"/>
            </w:r>
            <w:r>
              <w:rPr>
                <w:rFonts w:hint="eastAsia" w:ascii="宋体" w:hAnsi="宋体" w:cs="宋体"/>
              </w:rPr>
              <w:t>2. 全方位保护，运行安全：电机控制器具备欠压保护、过压保护、过载保护、过温保护、故障保护等功能，确保设备运行安全可靠；</w:t>
            </w:r>
            <w:r>
              <w:rPr>
                <w:rFonts w:hint="eastAsia" w:ascii="宋体" w:hAnsi="宋体" w:cs="宋体"/>
              </w:rPr>
              <w:br w:type="textWrapping"/>
            </w:r>
            <w:r>
              <w:rPr>
                <w:rFonts w:hint="eastAsia" w:ascii="宋体" w:hAnsi="宋体" w:cs="宋体"/>
              </w:rPr>
              <w:t>3. 19寸工控电脑：双19寸液晶触摸显示屏，控制实训台运行方式和故障设置，触屏A实时显示设备状态和运行数据（档位、工作状态、电源开关状态、驻坡模式、输出扭矩、主电机当前转速、故障等级、母线电压等信息），触屏B可随时播放实训台所配备的微课资源；</w:t>
            </w:r>
            <w:r>
              <w:rPr>
                <w:rFonts w:hint="eastAsia" w:ascii="宋体" w:hAnsi="宋体" w:cs="宋体"/>
              </w:rPr>
              <w:br w:type="textWrapping"/>
            </w:r>
            <w:r>
              <w:rPr>
                <w:rFonts w:hint="eastAsia" w:ascii="宋体" w:hAnsi="宋体" w:cs="宋体"/>
              </w:rPr>
              <w:t>4. 多工位检测设计：实训台上配置3处检测工位，面板上的检测工位为电路图形式，可直观清晰看到每个电器模块间连线方式，每条线上均设有双向检测端子方便学生对系统进行故障诊断和数据分析，运行台面两侧均设有插头图形式检测面板，所有插头外观和接角都与实际设备上的相同，实训过程中可使用万用表、示波器等专用仪器直接测量，可单组测量也可3组同时进行测量实训； 5. 后台控制软件：实训台配装电机控制器厂家原装控制软件，可以更改电机控制器多项运行参数：</w:t>
            </w:r>
            <w:r>
              <w:rPr>
                <w:rFonts w:hint="eastAsia" w:ascii="宋体" w:hAnsi="宋体" w:cs="宋体"/>
              </w:rPr>
              <w:br w:type="textWrapping"/>
            </w:r>
            <w:r>
              <w:rPr>
                <w:rFonts w:hint="eastAsia" w:ascii="宋体" w:hAnsi="宋体" w:cs="宋体"/>
              </w:rPr>
              <w:t>（1）驱动器参数配置功能；系统基本参数、常用功能、故障与保护、功能码管理、常用状态监视、常用功能码，以上参数均可根据用户需求做更改；</w:t>
            </w:r>
            <w:r>
              <w:rPr>
                <w:rFonts w:hint="eastAsia" w:ascii="宋体" w:hAnsi="宋体" w:cs="宋体"/>
              </w:rPr>
              <w:br w:type="textWrapping"/>
            </w:r>
            <w:r>
              <w:rPr>
                <w:rFonts w:hint="eastAsia" w:ascii="宋体" w:hAnsi="宋体" w:cs="宋体"/>
              </w:rPr>
              <w:t>（2）连续示波器功能；可以打开历史存储的波形文件、保存当前波形、截取当前屏幕图片、放大所指定区域、选择要抓取波形的通道、控制抓取波形和停止抓取波形、通道配置等多项功能；</w:t>
            </w:r>
            <w:r>
              <w:rPr>
                <w:rFonts w:hint="eastAsia" w:ascii="宋体" w:hAnsi="宋体" w:cs="宋体"/>
              </w:rPr>
              <w:br w:type="textWrapping"/>
            </w:r>
            <w:r>
              <w:rPr>
                <w:rFonts w:hint="eastAsia" w:ascii="宋体" w:hAnsi="宋体" w:cs="宋体"/>
              </w:rPr>
              <w:t>（3）故障记录功能;可以记录和直接显示最近10个控制器上发生的故障，每条故障都附有明确的数据信息，可以一键直接导出故障信息；</w:t>
            </w:r>
            <w:r>
              <w:rPr>
                <w:rFonts w:hint="eastAsia" w:ascii="宋体" w:hAnsi="宋体" w:cs="宋体"/>
              </w:rPr>
              <w:br w:type="textWrapping"/>
            </w:r>
            <w:r>
              <w:rPr>
                <w:rFonts w:hint="eastAsia" w:ascii="宋体" w:hAnsi="宋体" w:cs="宋体"/>
              </w:rPr>
              <w:t>（4）烧录功能：如有软件需要升级时，通过此项可一键将系统升级到最高版本；</w:t>
            </w:r>
            <w:r>
              <w:rPr>
                <w:rFonts w:hint="eastAsia" w:ascii="宋体" w:hAnsi="宋体" w:cs="宋体"/>
              </w:rPr>
              <w:br w:type="textWrapping"/>
            </w:r>
            <w:r>
              <w:rPr>
                <w:rFonts w:hint="eastAsia" w:ascii="宋体" w:hAnsi="宋体" w:cs="宋体"/>
              </w:rPr>
              <w:t>6. 智能故障设置系统，故障设置装置与操控软件高度融合，通过RSTTL转USB串口设备对协议数据信息进行转换，实现操控软件上故障设置界面对故障进行设置，在控制仪表主界面中点击“故障设置”进入故障设置界面显示vcu控制故障、MCU供电继电器故障、高压直流正接触器故障、高压直流负接触器故障、CANA-H通讯故障、CANH-L通讯故障、油门踏板位置传感器信号2故障、油门踏板位置传感器接地故障、电机旋变正弦故障等18路通讯故障设置，随意设置任何故障底色颜色会有变化代表故障已设置，故障设置器系统采用多路故障设置输出，可同时设置一个或多个故障，所有故障都配有文字说明，颜色说明、可清晰看见所设置故障内容；</w:t>
            </w:r>
            <w:r>
              <w:rPr>
                <w:rFonts w:hint="eastAsia" w:ascii="宋体" w:hAnsi="宋体" w:cs="宋体"/>
              </w:rPr>
              <w:br w:type="textWrapping"/>
            </w:r>
            <w:r>
              <w:rPr>
                <w:rFonts w:hint="eastAsia" w:ascii="宋体" w:hAnsi="宋体" w:cs="宋体"/>
              </w:rPr>
              <w:t>7. 汽车视频导航端，配备驱动系统工作原理高清视频IGBT原理、电机控制原理、电机冷却系统原理、电流传感器原理等资源软件触摸屏点击随意播放，例如点击IGBT原理播放看到IGBT原理、IGBT的特性、IGBT的电流流动方向以及组成结构动画和语言同步进行，有助于学员更加了解电机和电机控制器内部工作原理和组成结构，并且教师还可以通过资源上传端口上传本地课程资源视频，可同样播放；</w:t>
            </w:r>
            <w:r>
              <w:rPr>
                <w:rFonts w:hint="eastAsia" w:ascii="宋体" w:hAnsi="宋体" w:cs="宋体"/>
              </w:rPr>
              <w:br w:type="textWrapping"/>
            </w:r>
            <w:r>
              <w:rPr>
                <w:rFonts w:hint="eastAsia" w:ascii="宋体" w:hAnsi="宋体" w:cs="宋体"/>
              </w:rPr>
              <w:t>8. 操作软件运行环境要求：采用系统Microsoft Window7系统、语言框架：.Net Framework 4.0、媒体播放器：Windows Media Player 10以上、字体库：Probert-Condensed-10.otf和语音库：系统自带TTS引擎和VW Hui语音库，通过CAN转USB串口设备对通信协议数据信息进行转换，在电脑主界面上双击“汽车实训台”进入仪表主界面，在仪表界面底下有启动开关START、数据信息、故障设置、档位信息P、R、N、D。并且踩住刹车点击仪表左下角上“START”按钮实训台正常启动，在仪表主界面右下方显示档位信息P、R、N、D挡踩住刹车挂挡实训台电机可正常运行，点击“数据信息”里可实时显示系统电机运行功率、电机运行速度、上电信息、故障指示灯及故障等级，通过操控软件上的状态信息通道可实时查看到单位信息、工作状态、电源开关状态、驻坡模式、输出转矩、主电机当前转速、故障等级编号、故障等级、母线电流、母线电压、电机最大转矩、当前最大允许数车转矩、输出电流、电机温度、控制器温度、软件版本、控制模式、转速请求值、当前油门值、转矩请求值等多项信息，通过这些数据信息可深刻了解到实训台电机的运行数据。</w:t>
            </w:r>
            <w:r>
              <w:rPr>
                <w:rFonts w:hint="eastAsia" w:ascii="宋体" w:hAnsi="宋体" w:cs="宋体"/>
              </w:rPr>
              <w:br w:type="textWrapping"/>
            </w:r>
            <w:r>
              <w:rPr>
                <w:rFonts w:hint="eastAsia" w:ascii="宋体" w:hAnsi="宋体" w:cs="宋体"/>
              </w:rPr>
              <w:t>四、教学及实训项目</w:t>
            </w:r>
            <w:r>
              <w:rPr>
                <w:rFonts w:hint="eastAsia" w:ascii="宋体" w:hAnsi="宋体" w:cs="宋体"/>
              </w:rPr>
              <w:br w:type="textWrapping"/>
            </w:r>
            <w:r>
              <w:rPr>
                <w:rFonts w:hint="eastAsia" w:ascii="宋体" w:hAnsi="宋体" w:cs="宋体"/>
              </w:rPr>
              <w:t>1.纯电动汽车驱动电机控制器构造组成分析学习；</w:t>
            </w:r>
            <w:r>
              <w:rPr>
                <w:rFonts w:hint="eastAsia" w:ascii="宋体" w:hAnsi="宋体" w:cs="宋体"/>
              </w:rPr>
              <w:br w:type="textWrapping"/>
            </w:r>
            <w:r>
              <w:rPr>
                <w:rFonts w:hint="eastAsia" w:ascii="宋体" w:hAnsi="宋体" w:cs="宋体"/>
              </w:rPr>
              <w:t>2.驱动电机控制器故障分析排除；</w:t>
            </w:r>
            <w:r>
              <w:rPr>
                <w:rFonts w:hint="eastAsia" w:ascii="宋体" w:hAnsi="宋体" w:cs="宋体"/>
              </w:rPr>
              <w:br w:type="textWrapping"/>
            </w:r>
            <w:r>
              <w:rPr>
                <w:rFonts w:hint="eastAsia" w:ascii="宋体" w:hAnsi="宋体" w:cs="宋体"/>
              </w:rPr>
              <w:t>3.驱动电机控制器控制逻辑学习；</w:t>
            </w:r>
            <w:r>
              <w:rPr>
                <w:rFonts w:hint="eastAsia" w:ascii="宋体" w:hAnsi="宋体" w:cs="宋体"/>
              </w:rPr>
              <w:br w:type="textWrapping"/>
            </w:r>
            <w:r>
              <w:rPr>
                <w:rFonts w:hint="eastAsia" w:ascii="宋体" w:hAnsi="宋体" w:cs="宋体"/>
              </w:rPr>
              <w:t>4.驱动电机控制器控制参数编写调整；</w:t>
            </w:r>
            <w:r>
              <w:rPr>
                <w:rFonts w:hint="eastAsia" w:ascii="宋体" w:hAnsi="宋体" w:cs="宋体"/>
              </w:rPr>
              <w:br w:type="textWrapping"/>
            </w:r>
            <w:r>
              <w:rPr>
                <w:rFonts w:hint="eastAsia" w:ascii="宋体" w:hAnsi="宋体" w:cs="宋体"/>
              </w:rPr>
              <w:t>5.驱动电机控制器通讯逻辑学习；</w:t>
            </w:r>
            <w:r>
              <w:rPr>
                <w:rFonts w:hint="eastAsia" w:ascii="宋体" w:hAnsi="宋体" w:cs="宋体"/>
              </w:rPr>
              <w:br w:type="textWrapping"/>
            </w:r>
            <w:r>
              <w:rPr>
                <w:rFonts w:hint="eastAsia" w:ascii="宋体" w:hAnsi="宋体" w:cs="宋体"/>
              </w:rPr>
              <w:t>6.驱动电机控制器通讯逻辑编写调整；</w:t>
            </w:r>
            <w:r>
              <w:rPr>
                <w:rFonts w:hint="eastAsia" w:ascii="宋体" w:hAnsi="宋体" w:cs="宋体"/>
              </w:rPr>
              <w:br w:type="textWrapping"/>
            </w:r>
            <w:r>
              <w:rPr>
                <w:rFonts w:hint="eastAsia" w:ascii="宋体" w:hAnsi="宋体" w:cs="宋体"/>
              </w:rPr>
              <w:t>7.驱动电机结构原理学习；</w:t>
            </w:r>
            <w:r>
              <w:rPr>
                <w:rFonts w:hint="eastAsia" w:ascii="宋体" w:hAnsi="宋体" w:cs="宋体"/>
              </w:rPr>
              <w:br w:type="textWrapping"/>
            </w:r>
            <w:r>
              <w:rPr>
                <w:rFonts w:hint="eastAsia" w:ascii="宋体" w:hAnsi="宋体" w:cs="宋体"/>
              </w:rPr>
              <w:t>8.旋转变压器结构原理分析；</w:t>
            </w:r>
            <w:r>
              <w:rPr>
                <w:rFonts w:hint="eastAsia" w:ascii="宋体" w:hAnsi="宋体" w:cs="宋体"/>
              </w:rPr>
              <w:br w:type="textWrapping"/>
            </w:r>
            <w:r>
              <w:rPr>
                <w:rFonts w:hint="eastAsia" w:ascii="宋体" w:hAnsi="宋体" w:cs="宋体"/>
              </w:rPr>
              <w:t>9.旋转变压器故障诊断分析排除；</w:t>
            </w:r>
            <w:r>
              <w:rPr>
                <w:rFonts w:hint="eastAsia" w:ascii="宋体" w:hAnsi="宋体" w:cs="宋体"/>
              </w:rPr>
              <w:br w:type="textWrapping"/>
            </w:r>
            <w:r>
              <w:rPr>
                <w:rFonts w:hint="eastAsia" w:ascii="宋体" w:hAnsi="宋体" w:cs="宋体"/>
              </w:rPr>
              <w:t>10.电机温度传感器检测与维修；</w:t>
            </w:r>
            <w:r>
              <w:rPr>
                <w:rFonts w:hint="eastAsia" w:ascii="宋体" w:hAnsi="宋体" w:cs="宋体"/>
              </w:rPr>
              <w:br w:type="textWrapping"/>
            </w:r>
            <w:r>
              <w:rPr>
                <w:rFonts w:hint="eastAsia" w:ascii="宋体" w:hAnsi="宋体" w:cs="宋体"/>
              </w:rPr>
              <w:t>11.高压系统检测维修。</w:t>
            </w:r>
            <w:r>
              <w:rPr>
                <w:rFonts w:hint="eastAsia" w:ascii="宋体" w:hAnsi="宋体" w:cs="宋体"/>
              </w:rPr>
              <w:br w:type="textWrapping"/>
            </w:r>
          </w:p>
        </w:tc>
        <w:tc>
          <w:tcPr>
            <w:tcW w:w="357" w:type="pct"/>
            <w:vAlign w:val="center"/>
          </w:tcPr>
          <w:p w14:paraId="58EB3BD7">
            <w:pPr>
              <w:jc w:val="center"/>
              <w:rPr>
                <w:rFonts w:hint="eastAsia" w:ascii="宋体" w:hAnsi="宋体" w:cs="宋体"/>
                <w:szCs w:val="21"/>
              </w:rPr>
            </w:pPr>
            <w:r>
              <w:rPr>
                <w:rFonts w:hint="eastAsia" w:ascii="宋体" w:hAnsi="宋体" w:cs="宋体"/>
                <w:szCs w:val="21"/>
              </w:rPr>
              <w:t>1</w:t>
            </w:r>
          </w:p>
        </w:tc>
        <w:tc>
          <w:tcPr>
            <w:tcW w:w="341" w:type="pct"/>
            <w:vAlign w:val="center"/>
          </w:tcPr>
          <w:p w14:paraId="536393AD">
            <w:pPr>
              <w:jc w:val="center"/>
              <w:rPr>
                <w:rFonts w:hint="eastAsia" w:ascii="宋体" w:hAnsi="宋体" w:cs="宋体"/>
                <w:szCs w:val="21"/>
              </w:rPr>
            </w:pPr>
            <w:r>
              <w:rPr>
                <w:rFonts w:hint="eastAsia" w:ascii="宋体" w:hAnsi="宋体" w:cs="宋体"/>
                <w:szCs w:val="21"/>
              </w:rPr>
              <w:t>套</w:t>
            </w:r>
          </w:p>
        </w:tc>
      </w:tr>
      <w:tr w14:paraId="6E33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6478DD8C">
            <w:pPr>
              <w:jc w:val="center"/>
              <w:rPr>
                <w:rFonts w:hint="eastAsia" w:ascii="宋体" w:hAnsi="宋体" w:cs="宋体"/>
                <w:b/>
                <w:bCs/>
                <w:szCs w:val="21"/>
              </w:rPr>
            </w:pPr>
            <w:r>
              <w:rPr>
                <w:rFonts w:hint="eastAsia" w:ascii="宋体" w:hAnsi="宋体" w:cs="宋体"/>
                <w:szCs w:val="21"/>
              </w:rPr>
              <w:t>12</w:t>
            </w:r>
          </w:p>
        </w:tc>
        <w:tc>
          <w:tcPr>
            <w:tcW w:w="536" w:type="pct"/>
            <w:vAlign w:val="center"/>
          </w:tcPr>
          <w:p w14:paraId="0BD82306">
            <w:pPr>
              <w:pStyle w:val="80"/>
              <w:jc w:val="center"/>
              <w:rPr>
                <w:rFonts w:hint="eastAsia" w:ascii="宋体" w:hAnsi="宋体" w:cs="宋体"/>
              </w:rPr>
            </w:pPr>
            <w:r>
              <w:rPr>
                <w:rFonts w:hint="eastAsia" w:ascii="宋体" w:hAnsi="宋体" w:cs="宋体"/>
              </w:rPr>
              <w:t>新能源汽车驱动控制实训台智能化教学系统</w:t>
            </w:r>
          </w:p>
        </w:tc>
        <w:tc>
          <w:tcPr>
            <w:tcW w:w="3571" w:type="pct"/>
            <w:vAlign w:val="center"/>
          </w:tcPr>
          <w:p w14:paraId="7DC44483">
            <w:pPr>
              <w:pStyle w:val="80"/>
              <w:ind w:left="105" w:leftChars="50"/>
              <w:jc w:val="left"/>
              <w:rPr>
                <w:rFonts w:hint="eastAsia" w:ascii="宋体" w:hAnsi="宋体" w:cs="宋体"/>
              </w:rPr>
            </w:pPr>
            <w:r>
              <w:rPr>
                <w:rFonts w:hint="eastAsia" w:ascii="宋体" w:hAnsi="宋体" w:cs="宋体"/>
              </w:rPr>
              <w:t>一、软件要求：</w:t>
            </w:r>
            <w:r>
              <w:rPr>
                <w:rFonts w:hint="eastAsia" w:ascii="宋体" w:hAnsi="宋体" w:cs="宋体"/>
              </w:rPr>
              <w:br w:type="textWrapping"/>
            </w:r>
            <w:r>
              <w:rPr>
                <w:rFonts w:hint="eastAsia" w:ascii="宋体" w:hAnsi="宋体" w:cs="宋体"/>
              </w:rPr>
              <w:t>1、采用C/S架构开发，模块化设计，稳定可靠，软件为单机版。该软件结合教学硬件配套开发，需与下位机硬件同步实现。上位机软件配置可视化图文界面，可操控下位机硬件设备的上电、下电、运行、状态信息的设定、故障设置及原理展示等功能。便于学生对纯电动汽车驱动控制实训系统知识的掌握和了解。</w:t>
            </w:r>
            <w:r>
              <w:rPr>
                <w:rFonts w:hint="eastAsia" w:ascii="宋体" w:hAnsi="宋体" w:cs="宋体"/>
              </w:rPr>
              <w:br w:type="textWrapping"/>
            </w:r>
            <w:r>
              <w:rPr>
                <w:rFonts w:hint="eastAsia" w:ascii="宋体" w:hAnsi="宋体" w:cs="宋体"/>
              </w:rPr>
              <w:t>二、技术要求：</w:t>
            </w:r>
            <w:r>
              <w:rPr>
                <w:rFonts w:hint="eastAsia" w:ascii="宋体" w:hAnsi="宋体" w:cs="宋体"/>
              </w:rPr>
              <w:br w:type="textWrapping"/>
            </w:r>
            <w:r>
              <w:rPr>
                <w:rFonts w:hint="eastAsia" w:ascii="宋体" w:hAnsi="宋体" w:cs="宋体"/>
              </w:rPr>
              <w:t>1.CPU: Intel(R) Core(TM) i5-4210U 以上</w:t>
            </w:r>
            <w:r>
              <w:rPr>
                <w:rFonts w:hint="eastAsia" w:ascii="宋体" w:hAnsi="宋体" w:cs="宋体"/>
              </w:rPr>
              <w:br w:type="textWrapping"/>
            </w:r>
            <w:r>
              <w:rPr>
                <w:rFonts w:hint="eastAsia" w:ascii="宋体" w:hAnsi="宋体" w:cs="宋体"/>
              </w:rPr>
              <w:t>2.内存：DDR3 4G 以上</w:t>
            </w:r>
            <w:r>
              <w:rPr>
                <w:rFonts w:hint="eastAsia" w:ascii="宋体" w:hAnsi="宋体" w:cs="宋体"/>
              </w:rPr>
              <w:br w:type="textWrapping"/>
            </w:r>
            <w:r>
              <w:rPr>
                <w:rFonts w:hint="eastAsia" w:ascii="宋体" w:hAnsi="宋体" w:cs="宋体"/>
              </w:rPr>
              <w:t>3.操作系统：Microsoft Window7系统  64bit 以上</w:t>
            </w:r>
            <w:r>
              <w:rPr>
                <w:rFonts w:hint="eastAsia" w:ascii="宋体" w:hAnsi="宋体" w:cs="宋体"/>
              </w:rPr>
              <w:br w:type="textWrapping"/>
            </w:r>
            <w:r>
              <w:rPr>
                <w:rFonts w:hint="eastAsia" w:ascii="宋体" w:hAnsi="宋体" w:cs="宋体"/>
              </w:rPr>
              <w:t>4.硬盘：32G以上</w:t>
            </w:r>
            <w:r>
              <w:rPr>
                <w:rFonts w:hint="eastAsia" w:ascii="宋体" w:hAnsi="宋体" w:cs="宋体"/>
              </w:rPr>
              <w:br w:type="textWrapping"/>
            </w:r>
            <w:r>
              <w:rPr>
                <w:rFonts w:hint="eastAsia" w:ascii="宋体" w:hAnsi="宋体" w:cs="宋体"/>
              </w:rPr>
              <w:t>5.屏幕分辨率：1920X1080</w:t>
            </w:r>
            <w:r>
              <w:rPr>
                <w:rFonts w:hint="eastAsia" w:ascii="宋体" w:hAnsi="宋体" w:cs="宋体"/>
              </w:rPr>
              <w:br w:type="textWrapping"/>
            </w:r>
            <w:r>
              <w:rPr>
                <w:rFonts w:hint="eastAsia" w:ascii="宋体" w:hAnsi="宋体" w:cs="宋体"/>
              </w:rPr>
              <w:t>6.19寸液晶触摸屏一体机</w:t>
            </w:r>
            <w:r>
              <w:rPr>
                <w:rFonts w:hint="eastAsia" w:ascii="宋体" w:hAnsi="宋体" w:cs="宋体"/>
              </w:rPr>
              <w:br w:type="textWrapping"/>
            </w:r>
            <w:r>
              <w:rPr>
                <w:rFonts w:hint="eastAsia" w:ascii="宋体" w:hAnsi="宋体" w:cs="宋体"/>
              </w:rPr>
              <w:t>7.19寸工控触摸液晶显示器</w:t>
            </w:r>
            <w:r>
              <w:rPr>
                <w:rFonts w:hint="eastAsia" w:ascii="宋体" w:hAnsi="宋体" w:cs="宋体"/>
              </w:rPr>
              <w:br w:type="textWrapping"/>
            </w:r>
            <w:r>
              <w:rPr>
                <w:rFonts w:hint="eastAsia" w:ascii="宋体" w:hAnsi="宋体" w:cs="宋体"/>
              </w:rPr>
              <w:t>8.语言框架：.Net Framework 4.0</w:t>
            </w:r>
            <w:r>
              <w:rPr>
                <w:rFonts w:hint="eastAsia" w:ascii="宋体" w:hAnsi="宋体" w:cs="宋体"/>
              </w:rPr>
              <w:br w:type="textWrapping"/>
            </w:r>
            <w:r>
              <w:rPr>
                <w:rFonts w:hint="eastAsia" w:ascii="宋体" w:hAnsi="宋体" w:cs="宋体"/>
              </w:rPr>
              <w:t>9.媒体播放器：Windows Media Player 10以上</w:t>
            </w:r>
            <w:r>
              <w:rPr>
                <w:rFonts w:hint="eastAsia" w:ascii="宋体" w:hAnsi="宋体" w:cs="宋体"/>
              </w:rPr>
              <w:br w:type="textWrapping"/>
            </w:r>
            <w:r>
              <w:rPr>
                <w:rFonts w:hint="eastAsia" w:ascii="宋体" w:hAnsi="宋体" w:cs="宋体"/>
              </w:rPr>
              <w:t>10.字体库：Probert-Condensed-10</w:t>
            </w:r>
            <w:r>
              <w:rPr>
                <w:rFonts w:hint="eastAsia" w:ascii="宋体" w:hAnsi="宋体" w:cs="宋体"/>
              </w:rPr>
              <w:br w:type="textWrapping"/>
            </w:r>
            <w:r>
              <w:rPr>
                <w:rFonts w:hint="eastAsia" w:ascii="宋体" w:hAnsi="宋体" w:cs="宋体"/>
              </w:rPr>
              <w:t>11.otf和语音库：系统自带TTS引擎和VW Hui语音库</w:t>
            </w:r>
            <w:r>
              <w:rPr>
                <w:rFonts w:hint="eastAsia" w:ascii="宋体" w:hAnsi="宋体" w:cs="宋体"/>
              </w:rPr>
              <w:br w:type="textWrapping"/>
            </w:r>
            <w:r>
              <w:rPr>
                <w:rFonts w:hint="eastAsia" w:ascii="宋体" w:hAnsi="宋体" w:cs="宋体"/>
              </w:rPr>
              <w:t>12.通过CAN转USB串口设备对通信协议数据信息进行转换</w:t>
            </w:r>
            <w:r>
              <w:rPr>
                <w:rFonts w:hint="eastAsia" w:ascii="宋体" w:hAnsi="宋体" w:cs="宋体"/>
              </w:rPr>
              <w:br w:type="textWrapping"/>
            </w:r>
            <w:r>
              <w:rPr>
                <w:rFonts w:hint="eastAsia" w:ascii="宋体" w:hAnsi="宋体" w:cs="宋体"/>
              </w:rPr>
              <w:t>三、功能要求：</w:t>
            </w:r>
            <w:r>
              <w:rPr>
                <w:rFonts w:hint="eastAsia" w:ascii="宋体" w:hAnsi="宋体" w:cs="宋体"/>
              </w:rPr>
              <w:br w:type="textWrapping"/>
            </w:r>
            <w:r>
              <w:rPr>
                <w:rFonts w:hint="eastAsia" w:ascii="宋体" w:hAnsi="宋体" w:cs="宋体"/>
              </w:rPr>
              <w:t>1.本软件采用模块化设计原则，使用方便，配置灵活，配备控制器后台监控软件可随时对控制器控制策略升级更改；</w:t>
            </w:r>
            <w:r>
              <w:rPr>
                <w:rFonts w:hint="eastAsia" w:ascii="宋体" w:hAnsi="宋体" w:cs="宋体"/>
              </w:rPr>
              <w:br w:type="textWrapping"/>
            </w:r>
            <w:r>
              <w:rPr>
                <w:rFonts w:hint="eastAsia" w:ascii="宋体" w:hAnsi="宋体" w:cs="宋体"/>
              </w:rPr>
              <w:t>2.采用双屏控制，控制实训台运行方式、故障设置和原理展示，触屏A实时显示设备状态和运行数据（档位、工作状态、电源开关状态、驻坡模式、输出扭矩、主电机当前转速、故障等级、母线电压等信息），触屏B可随时播放实训台所配备的微课资源；</w:t>
            </w:r>
            <w:r>
              <w:rPr>
                <w:rFonts w:hint="eastAsia" w:ascii="宋体" w:hAnsi="宋体" w:cs="宋体"/>
              </w:rPr>
              <w:br w:type="textWrapping"/>
            </w:r>
            <w:r>
              <w:rPr>
                <w:rFonts w:hint="eastAsia" w:ascii="宋体" w:hAnsi="宋体" w:cs="宋体"/>
              </w:rPr>
              <w:t>3.后台控制软件：实训台配装电机控制器厂家原装控制软件，可以更改电机控制器多项运行参数：</w:t>
            </w:r>
            <w:r>
              <w:rPr>
                <w:rFonts w:hint="eastAsia" w:ascii="宋体" w:hAnsi="宋体" w:cs="宋体"/>
              </w:rPr>
              <w:br w:type="textWrapping"/>
            </w:r>
            <w:r>
              <w:rPr>
                <w:rFonts w:hint="eastAsia" w:ascii="宋体" w:hAnsi="宋体" w:cs="宋体"/>
              </w:rPr>
              <w:t>（1）驱动器参数配置功能；系统基本参数、常用功能、故障与保护、功能码管理、常用状态监视、常用功能码，以上参数均可根据用户需求做更改；</w:t>
            </w:r>
            <w:r>
              <w:rPr>
                <w:rFonts w:hint="eastAsia" w:ascii="宋体" w:hAnsi="宋体" w:cs="宋体"/>
              </w:rPr>
              <w:br w:type="textWrapping"/>
            </w:r>
            <w:r>
              <w:rPr>
                <w:rFonts w:hint="eastAsia" w:ascii="宋体" w:hAnsi="宋体" w:cs="宋体"/>
              </w:rPr>
              <w:t>（2）连续示波器功能；可以打开历史存储的波形文件、保存当前波形、截取当前屏幕图片、放大所指定区域、选择要抓取波形的通道、控制抓取波形和停止抓取波形、通道配置等多项功能；</w:t>
            </w:r>
            <w:r>
              <w:rPr>
                <w:rFonts w:hint="eastAsia" w:ascii="宋体" w:hAnsi="宋体" w:cs="宋体"/>
              </w:rPr>
              <w:br w:type="textWrapping"/>
            </w:r>
            <w:r>
              <w:rPr>
                <w:rFonts w:hint="eastAsia" w:ascii="宋体" w:hAnsi="宋体" w:cs="宋体"/>
              </w:rPr>
              <w:t>（3）故障记录功能;可以记录和直接显示最近10个控制器上发生的故障，每条故障都附有明确的数据信息，可以一键直接导出故障信息；</w:t>
            </w:r>
            <w:r>
              <w:rPr>
                <w:rFonts w:hint="eastAsia" w:ascii="宋体" w:hAnsi="宋体" w:cs="宋体"/>
              </w:rPr>
              <w:br w:type="textWrapping"/>
            </w:r>
            <w:r>
              <w:rPr>
                <w:rFonts w:hint="eastAsia" w:ascii="宋体" w:hAnsi="宋体" w:cs="宋体"/>
              </w:rPr>
              <w:t>（4）烧录功能：如有软件需要升级时，通过此项可一键将系统升级到最高版本；</w:t>
            </w:r>
            <w:r>
              <w:rPr>
                <w:rFonts w:hint="eastAsia" w:ascii="宋体" w:hAnsi="宋体" w:cs="宋体"/>
              </w:rPr>
              <w:br w:type="textWrapping"/>
            </w:r>
            <w:r>
              <w:rPr>
                <w:rFonts w:hint="eastAsia" w:ascii="宋体" w:hAnsi="宋体" w:cs="宋体"/>
              </w:rPr>
              <w:t>4.智能故障设置系统，故障设置装置与操控软件高度融合，通过RSTTL转USB串口设备对协议数据信息进行转换，实现操控软件上故障设置界面对故障进行设置，在控制仪表主界面中点击“故障设置”进入故障设置界面显示vcu控制故障、MCU供电继电器故障、高压直流正接触器故障、高压直流负接触器故障、CANA-H通讯故障、CANH-L通讯故障、油门踏板位置传感器信号2故障、油门踏板位置传感器接地故障、电机旋变正弦故障等18路通讯故障设置，随意设置任何故障底色颜色会有变化代表故障已设置，故障设置器系统采用多路故障设置输出，可同时设置一个或多个故障，所有故障都配有文字说明，颜色说明、可清晰看见所设置故障内容；</w:t>
            </w:r>
            <w:r>
              <w:rPr>
                <w:rFonts w:hint="eastAsia" w:ascii="宋体" w:hAnsi="宋体" w:cs="宋体"/>
              </w:rPr>
              <w:br w:type="textWrapping"/>
            </w:r>
            <w:r>
              <w:rPr>
                <w:rFonts w:hint="eastAsia" w:ascii="宋体" w:hAnsi="宋体" w:cs="宋体"/>
              </w:rPr>
              <w:t>5.汽车视频导航端，配备驱动系统工作原理高清视频IGBT原理、电机控制原理、电机冷却系统原理、电流传感器原理等资源软件触摸屏点击随意播放，例如点击IGBT原理播放看到IGBT原理、IGBT的特性、IGBT的电流流动方向以及组成结构动画和语言同步进行，有助于学员更加了解电机和电机控制器内部工作原理和组成结构，并且教师还可以通过资源上传端口上传本地课程资源视频，可同样播放；</w:t>
            </w:r>
            <w:r>
              <w:rPr>
                <w:rFonts w:hint="eastAsia" w:ascii="宋体" w:hAnsi="宋体" w:cs="宋体"/>
              </w:rPr>
              <w:br w:type="textWrapping"/>
            </w:r>
            <w:r>
              <w:rPr>
                <w:rFonts w:hint="eastAsia" w:ascii="宋体" w:hAnsi="宋体" w:cs="宋体"/>
              </w:rPr>
              <w:t>6.在电脑主界面上双击“汽车实训台”进入仪表主界面，在仪表界面底下有启动开关START、数据信息、故障设置、档位信息P、R、N、D。并且踩住刹车点击仪表左下角上“START”按钮实训台正常启动，在仪表主界面右下方显示档位信息P、R、N、D挡踩住刹车挂挡实训台电机可正常运行，点击“数据信息”里可实时显示系统电机运行功率、电机运行速度、上电信息、故障指示灯及故障等级，通过操控软件上的状态信息通道可实时查看到单位信息、工作状态、电源开关状态、驻坡模式、输出转矩、主电机当前转速、故障等级编号、故障等级、母线电流、母线电压、电机最大转矩、当前最大允许数车转矩、输出电流、电机温度、控制器温度、软件版本、控制模式、转速请求值、当前油门值、转矩请求值等多项信息，通过这些数据信息可深刻了解到实训台电机的运行数据。</w:t>
            </w:r>
            <w:r>
              <w:rPr>
                <w:rFonts w:hint="eastAsia" w:ascii="宋体" w:hAnsi="宋体" w:cs="宋体"/>
              </w:rPr>
              <w:br w:type="textWrapping"/>
            </w:r>
            <w:r>
              <w:rPr>
                <w:rFonts w:hint="eastAsia" w:ascii="宋体" w:hAnsi="宋体" w:cs="宋体"/>
              </w:rPr>
              <w:t>四、实训要求</w:t>
            </w:r>
            <w:r>
              <w:rPr>
                <w:rFonts w:hint="eastAsia" w:ascii="宋体" w:hAnsi="宋体" w:cs="宋体"/>
              </w:rPr>
              <w:br w:type="textWrapping"/>
            </w:r>
            <w:r>
              <w:rPr>
                <w:rFonts w:hint="eastAsia" w:ascii="宋体" w:hAnsi="宋体" w:cs="宋体"/>
              </w:rPr>
              <w:t>1.驱动电机控制器控制参数编写调整；</w:t>
            </w:r>
            <w:r>
              <w:rPr>
                <w:rFonts w:hint="eastAsia" w:ascii="宋体" w:hAnsi="宋体" w:cs="宋体"/>
              </w:rPr>
              <w:br w:type="textWrapping"/>
            </w:r>
            <w:r>
              <w:rPr>
                <w:rFonts w:hint="eastAsia" w:ascii="宋体" w:hAnsi="宋体" w:cs="宋体"/>
              </w:rPr>
              <w:t>2.驱动电机控制器通讯逻辑编写调整；</w:t>
            </w:r>
            <w:r>
              <w:rPr>
                <w:rFonts w:hint="eastAsia" w:ascii="宋体" w:hAnsi="宋体" w:cs="宋体"/>
              </w:rPr>
              <w:br w:type="textWrapping"/>
            </w:r>
            <w:r>
              <w:rPr>
                <w:rFonts w:hint="eastAsia" w:ascii="宋体" w:hAnsi="宋体" w:cs="宋体"/>
              </w:rPr>
              <w:t>3.驱动电机结构原理学习；</w:t>
            </w:r>
            <w:r>
              <w:rPr>
                <w:rFonts w:hint="eastAsia" w:ascii="宋体" w:hAnsi="宋体" w:cs="宋体"/>
              </w:rPr>
              <w:br w:type="textWrapping"/>
            </w:r>
            <w:r>
              <w:rPr>
                <w:rFonts w:hint="eastAsia" w:ascii="宋体" w:hAnsi="宋体" w:cs="宋体"/>
              </w:rPr>
              <w:t>4.旋转变压器结构原理分析。</w:t>
            </w:r>
            <w:r>
              <w:rPr>
                <w:rFonts w:hint="eastAsia" w:ascii="宋体" w:hAnsi="宋体" w:cs="宋体"/>
              </w:rPr>
              <w:br w:type="textWrapping"/>
            </w:r>
            <w:r>
              <w:rPr>
                <w:rFonts w:hint="eastAsia" w:ascii="宋体" w:hAnsi="宋体" w:cs="宋体"/>
              </w:rPr>
              <w:t>五、新能源汽车驱动控制实训台实训指导书技术要求：</w:t>
            </w:r>
            <w:r>
              <w:rPr>
                <w:rFonts w:hint="eastAsia" w:ascii="宋体" w:hAnsi="宋体" w:cs="宋体"/>
              </w:rPr>
              <w:br w:type="textWrapping"/>
            </w:r>
            <w:r>
              <w:rPr>
                <w:rFonts w:hint="eastAsia" w:ascii="宋体" w:hAnsi="宋体" w:cs="宋体"/>
              </w:rPr>
              <w:t>1.通过图文展示描述的方式，对新能源驱动控制系统的各个零部件的位置、工作原理和典型故障分析。本书通过设置5个学习任务，任务涵盖电机控制器MCU的检测与诊断、集成控制器VCU的检测与诊断、旋转变压器的故障诊断、加速踏板位置传感器的故障诊断和电机冷却系统检测等多个系统，可使学生充分学习理解电动汽车的组成和工作过程。</w:t>
            </w:r>
            <w:r>
              <w:rPr>
                <w:rFonts w:hint="eastAsia" w:ascii="宋体" w:hAnsi="宋体" w:cs="宋体"/>
              </w:rPr>
              <w:br w:type="textWrapping"/>
            </w:r>
            <w:r>
              <w:rPr>
                <w:rFonts w:hint="eastAsia" w:ascii="宋体" w:hAnsi="宋体" w:cs="宋体"/>
              </w:rPr>
              <w:t>2.每个学习任务开篇标有此任务的学习目标，和建议学时，方便教师把控在教学过程中对重难点内容的讲解和对课程时间分配的掌握。</w:t>
            </w:r>
            <w:r>
              <w:rPr>
                <w:rFonts w:hint="eastAsia" w:ascii="宋体" w:hAnsi="宋体" w:cs="宋体"/>
              </w:rPr>
              <w:br w:type="textWrapping"/>
            </w:r>
            <w:r>
              <w:rPr>
                <w:rFonts w:hint="eastAsia" w:ascii="宋体" w:hAnsi="宋体" w:cs="宋体"/>
              </w:rPr>
              <w:t>3.每个任务的“学习拓展”板块，采用文字、图片和表格的形式对知识点进行讲解，从技术的历史由来，到当前流行通用的技术进行原理展示和线路图分析。对当前教学任务的重点难点进行详尽的分析描述之外，还对和此部件所相关的知识内容进行扩展。让学生在学习完课内的知识内容外，还额外的掌握了更加有深度的内容，对打开学生思维、引导学生进行思考，提高学生的学习热情。</w:t>
            </w:r>
            <w:r>
              <w:rPr>
                <w:rFonts w:hint="eastAsia" w:ascii="宋体" w:hAnsi="宋体" w:cs="宋体"/>
              </w:rPr>
              <w:br w:type="textWrapping"/>
            </w:r>
            <w:r>
              <w:rPr>
                <w:rFonts w:hint="eastAsia" w:ascii="宋体" w:hAnsi="宋体" w:cs="宋体"/>
              </w:rPr>
              <w:t>4.在对理论内容讲解完成后，还设置了课程实训版块，版块内采用文字、图片和表格的形式对所学内容进行实训。图片采用实车、实表拍摄，保证图片内容和教学过程中所使用的教学设备完全相同，充分还原了学生在实训时需要测量插头接口和测量的数据。引领学生在实践操作中找到故障并对故障进行排除。并且可以学会正确穿戴防护设备和工具的使用。</w:t>
            </w:r>
            <w:r>
              <w:rPr>
                <w:rFonts w:hint="eastAsia" w:ascii="宋体" w:hAnsi="宋体" w:cs="宋体"/>
              </w:rPr>
              <w:br w:type="textWrapping"/>
            </w:r>
            <w:r>
              <w:rPr>
                <w:rFonts w:hint="eastAsia" w:ascii="宋体" w:hAnsi="宋体" w:cs="宋体"/>
              </w:rPr>
              <w:t>5.章节最后的自测题可以帮助学生巩固课上所学习的内容，并对课上的重难点内容进行复习，形成课前预习-课上学习-课后复习的完整的学习链。</w:t>
            </w:r>
          </w:p>
        </w:tc>
        <w:tc>
          <w:tcPr>
            <w:tcW w:w="357" w:type="pct"/>
            <w:vAlign w:val="center"/>
          </w:tcPr>
          <w:p w14:paraId="6D8563A7">
            <w:pPr>
              <w:jc w:val="center"/>
              <w:rPr>
                <w:rFonts w:hint="eastAsia" w:ascii="宋体" w:hAnsi="宋体" w:cs="宋体"/>
                <w:szCs w:val="21"/>
              </w:rPr>
            </w:pPr>
            <w:r>
              <w:rPr>
                <w:rFonts w:hint="eastAsia" w:ascii="宋体" w:hAnsi="宋体" w:cs="宋体"/>
                <w:szCs w:val="21"/>
              </w:rPr>
              <w:t>1</w:t>
            </w:r>
          </w:p>
        </w:tc>
        <w:tc>
          <w:tcPr>
            <w:tcW w:w="341" w:type="pct"/>
            <w:vAlign w:val="center"/>
          </w:tcPr>
          <w:p w14:paraId="314CE67E">
            <w:pPr>
              <w:jc w:val="center"/>
              <w:rPr>
                <w:rFonts w:hint="eastAsia" w:ascii="宋体" w:hAnsi="宋体" w:cs="宋体"/>
                <w:szCs w:val="21"/>
              </w:rPr>
            </w:pPr>
            <w:r>
              <w:rPr>
                <w:rFonts w:hint="eastAsia" w:ascii="宋体" w:hAnsi="宋体" w:cs="宋体"/>
                <w:szCs w:val="21"/>
              </w:rPr>
              <w:t>套</w:t>
            </w:r>
          </w:p>
        </w:tc>
      </w:tr>
      <w:tr w14:paraId="21FB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414855F3">
            <w:pPr>
              <w:jc w:val="center"/>
              <w:rPr>
                <w:rFonts w:hint="eastAsia" w:ascii="宋体" w:hAnsi="宋体" w:cs="宋体"/>
                <w:b/>
                <w:bCs/>
                <w:szCs w:val="21"/>
              </w:rPr>
            </w:pPr>
            <w:r>
              <w:rPr>
                <w:rFonts w:hint="eastAsia" w:ascii="宋体" w:hAnsi="宋体" w:cs="宋体"/>
                <w:szCs w:val="21"/>
              </w:rPr>
              <w:t>13</w:t>
            </w:r>
          </w:p>
        </w:tc>
        <w:tc>
          <w:tcPr>
            <w:tcW w:w="536" w:type="pct"/>
            <w:vAlign w:val="center"/>
          </w:tcPr>
          <w:p w14:paraId="0F1613BC">
            <w:pPr>
              <w:pStyle w:val="80"/>
              <w:jc w:val="center"/>
              <w:rPr>
                <w:rFonts w:hint="eastAsia" w:ascii="宋体" w:hAnsi="宋体" w:cs="宋体"/>
              </w:rPr>
            </w:pPr>
            <w:r>
              <w:rPr>
                <w:rFonts w:hint="eastAsia" w:ascii="宋体" w:hAnsi="宋体" w:cs="宋体"/>
              </w:rPr>
              <w:t>动力电池PACK 装调与检测技术平台</w:t>
            </w:r>
          </w:p>
        </w:tc>
        <w:tc>
          <w:tcPr>
            <w:tcW w:w="3571" w:type="pct"/>
            <w:vAlign w:val="center"/>
          </w:tcPr>
          <w:p w14:paraId="5CFFDF93">
            <w:pPr>
              <w:pStyle w:val="80"/>
              <w:ind w:left="105" w:leftChars="50"/>
              <w:jc w:val="left"/>
              <w:rPr>
                <w:rFonts w:hint="eastAsia" w:ascii="宋体" w:hAnsi="宋体" w:cs="宋体"/>
              </w:rPr>
            </w:pPr>
            <w:r>
              <w:rPr>
                <w:rFonts w:hint="eastAsia" w:ascii="宋体" w:hAnsi="宋体" w:cs="宋体"/>
              </w:rPr>
              <w:t>一、产品简介:</w:t>
            </w:r>
            <w:r>
              <w:rPr>
                <w:rFonts w:hint="eastAsia" w:ascii="宋体" w:hAnsi="宋体" w:cs="宋体"/>
              </w:rPr>
              <w:br w:type="textWrapping"/>
            </w:r>
            <w:r>
              <w:rPr>
                <w:rFonts w:hint="eastAsia" w:ascii="宋体" w:hAnsi="宋体" w:cs="宋体"/>
              </w:rPr>
              <w:t>1、该产品针对职业院校新能源汽车动力电池PACK组装技术定向开发，采用当代最前沿的生产及装调技术设计，可进行新能源汽车动力电池PACK 组装与调试教学。</w:t>
            </w:r>
            <w:r>
              <w:rPr>
                <w:rFonts w:hint="eastAsia" w:ascii="宋体" w:hAnsi="宋体" w:cs="宋体"/>
              </w:rPr>
              <w:br w:type="textWrapping"/>
            </w:r>
            <w:r>
              <w:rPr>
                <w:rFonts w:hint="eastAsia" w:ascii="宋体" w:hAnsi="宋体" w:cs="宋体"/>
              </w:rPr>
              <w:t>二、产品功能要求:</w:t>
            </w:r>
            <w:r>
              <w:rPr>
                <w:rFonts w:hint="eastAsia" w:ascii="宋体" w:hAnsi="宋体" w:cs="宋体"/>
              </w:rPr>
              <w:br w:type="textWrapping"/>
            </w:r>
            <w:r>
              <w:rPr>
                <w:rFonts w:hint="eastAsia" w:ascii="宋体" w:hAnsi="宋体" w:cs="宋体"/>
              </w:rPr>
              <w:t>1、产品由动力电池PACK装调实训台组成。</w:t>
            </w:r>
            <w:r>
              <w:rPr>
                <w:rFonts w:hint="eastAsia" w:ascii="宋体" w:hAnsi="宋体" w:cs="宋体"/>
              </w:rPr>
              <w:br w:type="textWrapping"/>
            </w:r>
            <w:r>
              <w:rPr>
                <w:rFonts w:hint="eastAsia" w:ascii="宋体" w:hAnsi="宋体" w:cs="宋体"/>
              </w:rPr>
              <w:t>2、装调实训台配置智能交互系统。</w:t>
            </w:r>
            <w:r>
              <w:rPr>
                <w:rFonts w:hint="eastAsia" w:ascii="宋体" w:hAnsi="宋体" w:cs="宋体"/>
              </w:rPr>
              <w:br w:type="textWrapping"/>
            </w:r>
            <w:r>
              <w:rPr>
                <w:rFonts w:hint="eastAsia" w:ascii="宋体" w:hAnsi="宋体" w:cs="宋体"/>
              </w:rPr>
              <w:t>3、装调实训台包含四个电池组模块，电池采用磷酸铁锂动力电池组成，单体容量20AH，</w:t>
            </w:r>
            <w:r>
              <w:rPr>
                <w:rFonts w:hint="eastAsia" w:ascii="宋体" w:hAnsi="宋体" w:cs="宋体"/>
              </w:rPr>
              <w:br w:type="textWrapping"/>
            </w:r>
            <w:r>
              <w:rPr>
                <w:rFonts w:hint="eastAsia" w:ascii="宋体" w:hAnsi="宋体" w:cs="宋体"/>
              </w:rPr>
              <w:t>4、配置车规级分布式电池管理系统，电池组装完成后可通过设备配套的智能交互系统与分布式电池管理系统进行数据交互，完成动力电池组的相关数据监控。（投标文件中需提供电池组的相关数据监控功能截图）</w:t>
            </w:r>
            <w:r>
              <w:rPr>
                <w:rFonts w:hint="eastAsia" w:ascii="宋体" w:hAnsi="宋体" w:cs="宋体"/>
              </w:rPr>
              <w:br w:type="textWrapping"/>
            </w:r>
            <w:r>
              <w:rPr>
                <w:rFonts w:hint="eastAsia" w:ascii="宋体" w:hAnsi="宋体" w:cs="宋体"/>
              </w:rPr>
              <w:t>5、技术平台配置国标交流充电口与车载充电机，数据标定完成后可对电池包进行充电测试，完成充电线路原理与实训教学。</w:t>
            </w:r>
            <w:r>
              <w:rPr>
                <w:rFonts w:hint="eastAsia" w:ascii="宋体" w:hAnsi="宋体" w:cs="宋体"/>
              </w:rPr>
              <w:br w:type="textWrapping"/>
            </w:r>
            <w:r>
              <w:rPr>
                <w:rFonts w:hint="eastAsia" w:ascii="宋体" w:hAnsi="宋体" w:cs="宋体"/>
              </w:rPr>
              <w:t>6、实训台配套交流充电枪，方便学员进行充电线路测试，平台支持国标7kw及以下交流充电桩充电。</w:t>
            </w:r>
            <w:r>
              <w:rPr>
                <w:rFonts w:hint="eastAsia" w:ascii="宋体" w:hAnsi="宋体" w:cs="宋体"/>
              </w:rPr>
              <w:br w:type="textWrapping"/>
            </w:r>
            <w:r>
              <w:rPr>
                <w:rFonts w:hint="eastAsia" w:ascii="宋体" w:hAnsi="宋体" w:cs="宋体"/>
              </w:rPr>
              <w:t>7、平台配套模拟负载系统，可完成动力电池组的放电原理线路的调试。</w:t>
            </w:r>
            <w:r>
              <w:rPr>
                <w:rFonts w:hint="eastAsia" w:ascii="宋体" w:hAnsi="宋体" w:cs="宋体"/>
              </w:rPr>
              <w:br w:type="textWrapping"/>
            </w:r>
            <w:r>
              <w:rPr>
                <w:rFonts w:hint="eastAsia" w:ascii="宋体" w:hAnsi="宋体" w:cs="宋体"/>
              </w:rPr>
              <w:t>8、该平台配置高压配电箱模块，可完成高压上下电控制线路原理的调试教学。</w:t>
            </w:r>
            <w:r>
              <w:rPr>
                <w:rFonts w:hint="eastAsia" w:ascii="宋体" w:hAnsi="宋体" w:cs="宋体"/>
              </w:rPr>
              <w:br w:type="textWrapping"/>
            </w:r>
            <w:r>
              <w:rPr>
                <w:rFonts w:hint="eastAsia" w:ascii="宋体" w:hAnsi="宋体" w:cs="宋体"/>
              </w:rPr>
              <w:t>9、实训台充电模块、高压配电箱模块及分布式电池管理系统模块采用透明亚克力面板封装，可直观展现各模块的形态及模块间的线路连接状态。</w:t>
            </w:r>
            <w:r>
              <w:rPr>
                <w:rFonts w:hint="eastAsia" w:ascii="宋体" w:hAnsi="宋体" w:cs="宋体"/>
              </w:rPr>
              <w:br w:type="textWrapping"/>
            </w:r>
            <w:r>
              <w:rPr>
                <w:rFonts w:hint="eastAsia" w:ascii="宋体" w:hAnsi="宋体" w:cs="宋体"/>
              </w:rPr>
              <w:t>10、技术平台配置简易放电负载，同时可通过交流充电口对外放电，可与驱动系统装调与检测技术互联，为电机控制器提供能量。（投标文件中需提供实物图片）</w:t>
            </w:r>
            <w:r>
              <w:rPr>
                <w:rFonts w:hint="eastAsia" w:ascii="宋体" w:hAnsi="宋体" w:cs="宋体"/>
              </w:rPr>
              <w:br w:type="textWrapping"/>
            </w:r>
            <w:r>
              <w:rPr>
                <w:rFonts w:hint="eastAsia" w:ascii="宋体" w:hAnsi="宋体" w:cs="宋体"/>
              </w:rPr>
              <w:t>11、平台制作材料选用坚固冷轧钢板，经过严格的脱脂、酸洗、防锈磷化、纯水清洗、静电喷涂等工艺流程，色泽自然、稳定性高、不易变形、耐水、耐老化，</w:t>
            </w:r>
            <w:r>
              <w:rPr>
                <w:rFonts w:hint="eastAsia" w:ascii="宋体" w:hAnsi="宋体" w:cs="宋体"/>
              </w:rPr>
              <w:br w:type="textWrapping"/>
            </w:r>
            <w:r>
              <w:rPr>
                <w:rFonts w:hint="eastAsia" w:ascii="宋体" w:hAnsi="宋体" w:cs="宋体"/>
              </w:rPr>
              <w:t>12、设备配套双开门柜子</w:t>
            </w:r>
            <w:r>
              <w:rPr>
                <w:rFonts w:hint="eastAsia" w:ascii="宋体" w:hAnsi="宋体" w:cs="宋体"/>
              </w:rPr>
              <w:br w:type="textWrapping"/>
            </w:r>
            <w:r>
              <w:rPr>
                <w:rFonts w:hint="eastAsia" w:ascii="宋体" w:hAnsi="宋体" w:cs="宋体"/>
              </w:rPr>
              <w:t>13、设备底部配套双刹车万向脚轮锁止机构，表面采用优质镀锌工艺，保证了脚轮机构的强度和硬度。内部采用精密钢珠，可实现全方位旋转，环保静音，更安全。刹车系统采用大螺纹固定刹车片，刹的更稳，更牢固。</w:t>
            </w:r>
            <w:r>
              <w:rPr>
                <w:rFonts w:hint="eastAsia" w:ascii="宋体" w:hAnsi="宋体" w:cs="宋体"/>
              </w:rPr>
              <w:br w:type="textWrapping"/>
            </w:r>
            <w:r>
              <w:rPr>
                <w:rFonts w:hint="eastAsia" w:ascii="宋体" w:hAnsi="宋体" w:cs="宋体"/>
              </w:rPr>
              <w:t>三、智能教学系统软件技术要求：</w:t>
            </w:r>
            <w:r>
              <w:rPr>
                <w:rFonts w:hint="eastAsia" w:ascii="宋体" w:hAnsi="宋体" w:cs="宋体"/>
              </w:rPr>
              <w:br w:type="textWrapping"/>
            </w:r>
            <w:r>
              <w:rPr>
                <w:rFonts w:hint="eastAsia" w:ascii="宋体" w:hAnsi="宋体" w:cs="宋体"/>
              </w:rPr>
              <w:t>1、智能教学系统可对组装后电池组进行标定与动态检测，并可通过人机交互界面对动力电池PACK实训台进行图形化控制，方便学生对电池组的数据分析与标定。</w:t>
            </w:r>
            <w:r>
              <w:rPr>
                <w:rFonts w:hint="eastAsia" w:ascii="宋体" w:hAnsi="宋体" w:cs="宋体"/>
              </w:rPr>
              <w:br w:type="textWrapping"/>
            </w:r>
            <w:r>
              <w:rPr>
                <w:rFonts w:hint="eastAsia" w:ascii="宋体" w:hAnsi="宋体" w:cs="宋体"/>
              </w:rPr>
              <w:t>2、智能教学系统安装在MiniPC 上，信息通过43寸高清多媒体动态显示。</w:t>
            </w:r>
            <w:r>
              <w:rPr>
                <w:rFonts w:hint="eastAsia" w:ascii="宋体" w:hAnsi="宋体" w:cs="宋体"/>
              </w:rPr>
              <w:br w:type="textWrapping"/>
            </w:r>
            <w:r>
              <w:rPr>
                <w:rFonts w:hint="eastAsia" w:ascii="宋体" w:hAnsi="宋体" w:cs="宋体"/>
              </w:rPr>
              <w:t>3、系统可实时检测CAN设备、M1203等通讯设备的连接状态，并能对检测结果进行判定，异常时会上报相应的错误提示。并且可以对插拔的M1203串口进行自动检测与通讯恢复。</w:t>
            </w:r>
            <w:r>
              <w:rPr>
                <w:rFonts w:hint="eastAsia" w:ascii="宋体" w:hAnsi="宋体" w:cs="宋体"/>
              </w:rPr>
              <w:br w:type="textWrapping"/>
            </w:r>
            <w:r>
              <w:rPr>
                <w:rFonts w:hint="eastAsia" w:ascii="宋体" w:hAnsi="宋体" w:cs="宋体"/>
              </w:rPr>
              <w:t>4、系统具有理论、实训、调试等三大主要功能。</w:t>
            </w:r>
            <w:r>
              <w:rPr>
                <w:rFonts w:hint="eastAsia" w:ascii="宋体" w:hAnsi="宋体" w:cs="宋体"/>
              </w:rPr>
              <w:br w:type="textWrapping"/>
            </w:r>
            <w:r>
              <w:rPr>
                <w:rFonts w:hint="eastAsia" w:ascii="宋体" w:hAnsi="宋体" w:cs="宋体"/>
              </w:rPr>
              <w:t>（1）理论</w:t>
            </w:r>
            <w:r>
              <w:rPr>
                <w:rFonts w:hint="eastAsia" w:ascii="宋体" w:hAnsi="宋体" w:cs="宋体"/>
              </w:rPr>
              <w:br w:type="textWrapping"/>
            </w:r>
            <w:r>
              <w:rPr>
                <w:rFonts w:hint="eastAsia" w:ascii="宋体" w:hAnsi="宋体" w:cs="宋体"/>
              </w:rPr>
              <w:t>①理论模式内置丰富的视频资源与文本资源，视频资源分为本地资源和在线资源；视频播放时可暂停，可全屏，可调整音量，屏幕右侧显示课程资源名称。</w:t>
            </w:r>
            <w:r>
              <w:rPr>
                <w:rFonts w:hint="eastAsia" w:ascii="宋体" w:hAnsi="宋体" w:cs="宋体"/>
              </w:rPr>
              <w:br w:type="textWrapping"/>
            </w:r>
            <w:r>
              <w:rPr>
                <w:rFonts w:hint="eastAsia" w:ascii="宋体" w:hAnsi="宋体" w:cs="宋体"/>
              </w:rPr>
              <w:t>②软件具有资源添加功能，支持视频、文本、图片、flash等格式。</w:t>
            </w:r>
            <w:r>
              <w:rPr>
                <w:rFonts w:hint="eastAsia" w:ascii="宋体" w:hAnsi="宋体" w:cs="宋体"/>
              </w:rPr>
              <w:br w:type="textWrapping"/>
            </w:r>
            <w:r>
              <w:rPr>
                <w:rFonts w:hint="eastAsia" w:ascii="宋体" w:hAnsi="宋体" w:cs="宋体"/>
              </w:rPr>
              <w:t>③视频资源具有循环播放功能。</w:t>
            </w:r>
            <w:r>
              <w:rPr>
                <w:rFonts w:hint="eastAsia" w:ascii="宋体" w:hAnsi="宋体" w:cs="宋体"/>
              </w:rPr>
              <w:br w:type="textWrapping"/>
            </w:r>
            <w:r>
              <w:rPr>
                <w:rFonts w:hint="eastAsia" w:ascii="宋体" w:hAnsi="宋体" w:cs="宋体"/>
              </w:rPr>
              <w:t>（2）实训</w:t>
            </w:r>
            <w:r>
              <w:rPr>
                <w:rFonts w:hint="eastAsia" w:ascii="宋体" w:hAnsi="宋体" w:cs="宋体"/>
              </w:rPr>
              <w:br w:type="textWrapping"/>
            </w:r>
            <w:r>
              <w:rPr>
                <w:rFonts w:hint="eastAsia" w:ascii="宋体" w:hAnsi="宋体" w:cs="宋体"/>
              </w:rPr>
              <w:t>实训模式图形化动态显示动力电池组总电压，电池均温，单体电池电压，单体电池最高电压、单体电池最低电压、单体电池温度，单体电池最高温度、单体电池最低温度、电流，SOC等数据信息。电池单体信息可在四个模组之间切换。（投标文件中需提供实训模式图形化动态显示功能截图）</w:t>
            </w:r>
            <w:r>
              <w:rPr>
                <w:rFonts w:hint="eastAsia" w:ascii="宋体" w:hAnsi="宋体" w:cs="宋体"/>
              </w:rPr>
              <w:br w:type="textWrapping"/>
            </w:r>
            <w:r>
              <w:rPr>
                <w:rFonts w:hint="eastAsia" w:ascii="宋体" w:hAnsi="宋体" w:cs="宋体"/>
              </w:rPr>
              <w:t>点击放电按钮，页面可显示放电电流，剩余放电时间等信息。</w:t>
            </w:r>
            <w:r>
              <w:rPr>
                <w:rFonts w:hint="eastAsia" w:ascii="宋体" w:hAnsi="宋体" w:cs="宋体"/>
              </w:rPr>
              <w:br w:type="textWrapping"/>
            </w:r>
            <w:r>
              <w:rPr>
                <w:rFonts w:hint="eastAsia" w:ascii="宋体" w:hAnsi="宋体" w:cs="宋体"/>
              </w:rPr>
              <w:t>点击充电按钮，连接充电枪，正常情况下，页面显示充电枪连接状态，CC、CP，充电电流，充电剩余时间等信息。</w:t>
            </w:r>
            <w:r>
              <w:rPr>
                <w:rFonts w:hint="eastAsia" w:ascii="宋体" w:hAnsi="宋体" w:cs="宋体"/>
              </w:rPr>
              <w:br w:type="textWrapping"/>
            </w:r>
            <w:r>
              <w:rPr>
                <w:rFonts w:hint="eastAsia" w:ascii="宋体" w:hAnsi="宋体" w:cs="宋体"/>
              </w:rPr>
              <w:t>（3）调试</w:t>
            </w:r>
            <w:r>
              <w:rPr>
                <w:rFonts w:hint="eastAsia" w:ascii="宋体" w:hAnsi="宋体" w:cs="宋体"/>
              </w:rPr>
              <w:br w:type="textWrapping"/>
            </w:r>
            <w:r>
              <w:rPr>
                <w:rFonts w:hint="eastAsia" w:ascii="宋体" w:hAnsi="宋体" w:cs="宋体"/>
              </w:rPr>
              <w:t>①点击调试按钮可进入调试界面，调试数据信息呈列表形式显示，包含：总压过高、单体过高、放电高温、充电高温、压差过大、放电过流、soc过低、当前SOC、总压过低、单体过低、放电低温、充电低温、温差过大、充电过流、绝缘过低、电池容量等数据，每条数据分三个告警等级，可进行编辑修改。</w:t>
            </w:r>
            <w:r>
              <w:rPr>
                <w:rFonts w:hint="eastAsia" w:ascii="宋体" w:hAnsi="宋体" w:cs="宋体"/>
              </w:rPr>
              <w:br w:type="textWrapping"/>
            </w:r>
            <w:r>
              <w:rPr>
                <w:rFonts w:hint="eastAsia" w:ascii="宋体" w:hAnsi="宋体" w:cs="宋体"/>
              </w:rPr>
              <w:t>②软件具有接触器检测功能。并可将采集的数据通过canbus实时反馈至教学系统。可实时检测总正继电器、总负继电器、预充继电器、放电继电器、慢充继电器、快充继电器等。</w:t>
            </w:r>
            <w:r>
              <w:rPr>
                <w:rFonts w:hint="eastAsia" w:ascii="宋体" w:hAnsi="宋体" w:cs="宋体"/>
              </w:rPr>
              <w:br w:type="textWrapping"/>
            </w:r>
            <w:r>
              <w:rPr>
                <w:rFonts w:hint="eastAsia" w:ascii="宋体" w:hAnsi="宋体" w:cs="宋体"/>
              </w:rPr>
              <w:t>③接触器工作时，软件界面对应按钮可呈突出显示，学员也可通过鼠标控制接触器的断开与吸合，从而验证设备的工作状态。</w:t>
            </w:r>
            <w:r>
              <w:rPr>
                <w:rFonts w:hint="eastAsia" w:ascii="宋体" w:hAnsi="宋体" w:cs="宋体"/>
              </w:rPr>
              <w:br w:type="textWrapping"/>
            </w:r>
            <w:r>
              <w:rPr>
                <w:rFonts w:hint="eastAsia" w:ascii="宋体" w:hAnsi="宋体" w:cs="宋体"/>
              </w:rPr>
              <w:t>④充电模式具有自动充电模式和手动充电模式功能，模式可任意切换。</w:t>
            </w:r>
            <w:r>
              <w:rPr>
                <w:rFonts w:hint="eastAsia" w:ascii="宋体" w:hAnsi="宋体" w:cs="宋体"/>
              </w:rPr>
              <w:br w:type="textWrapping"/>
            </w:r>
            <w:r>
              <w:rPr>
                <w:rFonts w:hint="eastAsia" w:ascii="宋体" w:hAnsi="宋体" w:cs="宋体"/>
              </w:rPr>
              <w:t>⑤软件具有展示数据流功能，点击展示数据流按钮，可动态显示动力电池管理系统相关数据流，包含：系统电压、系统总电流、系统SOC、系统运行状态、充电枪连接状态、充电状态、充电枪充电模式和状态、绝缘正阻值、绝缘负阻值、CC电阻值、CC2电阻值、电池温差、CP占空比、高压互锁状态、与整车通讯状态、充电机通讯状态、交流充电枪座温度等信息。（投标文件中需提供软件具有展示数据流功能截图）</w:t>
            </w:r>
            <w:r>
              <w:rPr>
                <w:rFonts w:hint="eastAsia" w:ascii="宋体" w:hAnsi="宋体" w:cs="宋体"/>
              </w:rPr>
              <w:br w:type="textWrapping"/>
            </w:r>
            <w:r>
              <w:rPr>
                <w:rFonts w:hint="eastAsia" w:ascii="宋体" w:hAnsi="宋体" w:cs="宋体"/>
              </w:rPr>
              <w:t>⑥软件具有恢复默认设置功能，可对标定后的数据进行一键恢复</w:t>
            </w:r>
          </w:p>
        </w:tc>
        <w:tc>
          <w:tcPr>
            <w:tcW w:w="357" w:type="pct"/>
            <w:vAlign w:val="center"/>
          </w:tcPr>
          <w:p w14:paraId="5F30E0CB">
            <w:pPr>
              <w:jc w:val="center"/>
              <w:rPr>
                <w:rFonts w:hint="eastAsia" w:ascii="宋体" w:hAnsi="宋体" w:cs="宋体"/>
                <w:szCs w:val="21"/>
              </w:rPr>
            </w:pPr>
            <w:r>
              <w:rPr>
                <w:rFonts w:hint="eastAsia" w:ascii="宋体" w:hAnsi="宋体" w:cs="宋体"/>
                <w:szCs w:val="21"/>
              </w:rPr>
              <w:t>1</w:t>
            </w:r>
          </w:p>
        </w:tc>
        <w:tc>
          <w:tcPr>
            <w:tcW w:w="341" w:type="pct"/>
            <w:vAlign w:val="center"/>
          </w:tcPr>
          <w:p w14:paraId="712CB624">
            <w:pPr>
              <w:jc w:val="center"/>
              <w:rPr>
                <w:rFonts w:hint="eastAsia" w:ascii="宋体" w:hAnsi="宋体" w:cs="宋体"/>
                <w:szCs w:val="21"/>
              </w:rPr>
            </w:pPr>
          </w:p>
          <w:p w14:paraId="5B548095">
            <w:pPr>
              <w:jc w:val="center"/>
              <w:rPr>
                <w:rFonts w:hint="eastAsia" w:ascii="宋体" w:hAnsi="宋体" w:cs="宋体"/>
                <w:szCs w:val="21"/>
              </w:rPr>
            </w:pPr>
          </w:p>
          <w:p w14:paraId="53D5B78F">
            <w:pPr>
              <w:jc w:val="center"/>
              <w:rPr>
                <w:rFonts w:hint="eastAsia" w:ascii="宋体" w:hAnsi="宋体" w:cs="宋体"/>
                <w:szCs w:val="21"/>
              </w:rPr>
            </w:pPr>
          </w:p>
          <w:p w14:paraId="48EFC436">
            <w:pPr>
              <w:jc w:val="center"/>
              <w:rPr>
                <w:rFonts w:hint="eastAsia" w:ascii="宋体" w:hAnsi="宋体" w:cs="宋体"/>
                <w:szCs w:val="21"/>
              </w:rPr>
            </w:pPr>
          </w:p>
          <w:p w14:paraId="31472E99">
            <w:pPr>
              <w:jc w:val="center"/>
              <w:rPr>
                <w:rFonts w:hint="eastAsia" w:ascii="宋体" w:hAnsi="宋体" w:cs="宋体"/>
                <w:szCs w:val="21"/>
              </w:rPr>
            </w:pPr>
          </w:p>
          <w:p w14:paraId="12D37B67">
            <w:pPr>
              <w:jc w:val="center"/>
              <w:rPr>
                <w:rFonts w:hint="eastAsia" w:ascii="宋体" w:hAnsi="宋体" w:cs="宋体"/>
                <w:szCs w:val="21"/>
              </w:rPr>
            </w:pPr>
          </w:p>
          <w:p w14:paraId="5631CD66">
            <w:pPr>
              <w:jc w:val="center"/>
              <w:rPr>
                <w:rFonts w:hint="eastAsia" w:ascii="宋体" w:hAnsi="宋体" w:cs="宋体"/>
                <w:szCs w:val="21"/>
              </w:rPr>
            </w:pPr>
          </w:p>
          <w:p w14:paraId="4FA1979F">
            <w:pPr>
              <w:jc w:val="center"/>
              <w:rPr>
                <w:rFonts w:hint="eastAsia" w:ascii="宋体" w:hAnsi="宋体" w:cs="宋体"/>
                <w:szCs w:val="21"/>
              </w:rPr>
            </w:pPr>
          </w:p>
          <w:p w14:paraId="0542993D">
            <w:pPr>
              <w:jc w:val="center"/>
              <w:rPr>
                <w:rFonts w:hint="eastAsia" w:ascii="宋体" w:hAnsi="宋体" w:cs="宋体"/>
                <w:szCs w:val="21"/>
              </w:rPr>
            </w:pPr>
          </w:p>
          <w:p w14:paraId="66FD70E8">
            <w:pPr>
              <w:jc w:val="center"/>
              <w:rPr>
                <w:rFonts w:hint="eastAsia" w:ascii="宋体" w:hAnsi="宋体" w:cs="宋体"/>
                <w:szCs w:val="21"/>
              </w:rPr>
            </w:pPr>
          </w:p>
          <w:p w14:paraId="23E15384">
            <w:pPr>
              <w:jc w:val="center"/>
              <w:rPr>
                <w:rFonts w:hint="eastAsia" w:ascii="宋体" w:hAnsi="宋体" w:cs="宋体"/>
                <w:szCs w:val="21"/>
              </w:rPr>
            </w:pPr>
          </w:p>
          <w:p w14:paraId="164DC3A0">
            <w:pPr>
              <w:jc w:val="center"/>
              <w:rPr>
                <w:rFonts w:hint="eastAsia" w:ascii="宋体" w:hAnsi="宋体" w:cs="宋体"/>
                <w:szCs w:val="21"/>
              </w:rPr>
            </w:pPr>
            <w:r>
              <w:rPr>
                <w:rFonts w:hint="eastAsia" w:ascii="宋体" w:hAnsi="宋体" w:cs="宋体"/>
                <w:szCs w:val="21"/>
              </w:rPr>
              <w:t>套</w:t>
            </w:r>
          </w:p>
          <w:p w14:paraId="40568E57">
            <w:pPr>
              <w:jc w:val="center"/>
              <w:rPr>
                <w:rFonts w:hint="eastAsia" w:ascii="宋体" w:hAnsi="宋体" w:cs="宋体"/>
                <w:szCs w:val="21"/>
              </w:rPr>
            </w:pPr>
          </w:p>
          <w:p w14:paraId="539F88CE">
            <w:pPr>
              <w:jc w:val="center"/>
              <w:rPr>
                <w:rFonts w:hint="eastAsia" w:ascii="宋体" w:hAnsi="宋体" w:cs="宋体"/>
                <w:szCs w:val="21"/>
              </w:rPr>
            </w:pPr>
          </w:p>
          <w:p w14:paraId="2A502193">
            <w:pPr>
              <w:jc w:val="center"/>
              <w:rPr>
                <w:rFonts w:hint="eastAsia" w:ascii="宋体" w:hAnsi="宋体" w:cs="宋体"/>
                <w:szCs w:val="21"/>
              </w:rPr>
            </w:pPr>
          </w:p>
          <w:p w14:paraId="5F24DCF7">
            <w:pPr>
              <w:jc w:val="center"/>
              <w:rPr>
                <w:rFonts w:hint="eastAsia" w:ascii="宋体" w:hAnsi="宋体" w:cs="宋体"/>
                <w:szCs w:val="21"/>
              </w:rPr>
            </w:pPr>
          </w:p>
          <w:p w14:paraId="243DE465">
            <w:pPr>
              <w:jc w:val="center"/>
              <w:rPr>
                <w:rFonts w:hint="eastAsia" w:ascii="宋体" w:hAnsi="宋体" w:cs="宋体"/>
                <w:szCs w:val="21"/>
              </w:rPr>
            </w:pPr>
          </w:p>
          <w:p w14:paraId="756FC969">
            <w:pPr>
              <w:jc w:val="center"/>
              <w:rPr>
                <w:rFonts w:hint="eastAsia" w:ascii="宋体" w:hAnsi="宋体" w:cs="宋体"/>
                <w:szCs w:val="21"/>
              </w:rPr>
            </w:pPr>
          </w:p>
          <w:p w14:paraId="5C8EAF5D">
            <w:pPr>
              <w:jc w:val="center"/>
              <w:rPr>
                <w:rFonts w:hint="eastAsia" w:ascii="宋体" w:hAnsi="宋体" w:cs="宋体"/>
                <w:szCs w:val="21"/>
              </w:rPr>
            </w:pPr>
          </w:p>
          <w:p w14:paraId="68EA641D">
            <w:pPr>
              <w:jc w:val="center"/>
              <w:rPr>
                <w:rFonts w:hint="eastAsia" w:ascii="宋体" w:hAnsi="宋体" w:cs="宋体"/>
                <w:szCs w:val="21"/>
              </w:rPr>
            </w:pPr>
          </w:p>
          <w:p w14:paraId="030FAADE">
            <w:pPr>
              <w:jc w:val="center"/>
              <w:rPr>
                <w:rFonts w:hint="eastAsia" w:ascii="宋体" w:hAnsi="宋体" w:cs="宋体"/>
                <w:szCs w:val="21"/>
              </w:rPr>
            </w:pPr>
          </w:p>
          <w:p w14:paraId="0B1AC392">
            <w:pPr>
              <w:jc w:val="center"/>
              <w:rPr>
                <w:rFonts w:hint="eastAsia" w:ascii="宋体" w:hAnsi="宋体" w:cs="宋体"/>
                <w:szCs w:val="21"/>
              </w:rPr>
            </w:pPr>
          </w:p>
          <w:p w14:paraId="1CCD5F02">
            <w:pPr>
              <w:jc w:val="center"/>
              <w:rPr>
                <w:rFonts w:hint="eastAsia" w:ascii="宋体" w:hAnsi="宋体" w:cs="宋体"/>
                <w:szCs w:val="21"/>
              </w:rPr>
            </w:pPr>
          </w:p>
          <w:p w14:paraId="0DC28538">
            <w:pPr>
              <w:jc w:val="center"/>
              <w:rPr>
                <w:rFonts w:hint="eastAsia" w:ascii="宋体" w:hAnsi="宋体" w:cs="宋体"/>
                <w:szCs w:val="21"/>
              </w:rPr>
            </w:pPr>
          </w:p>
          <w:p w14:paraId="7A7D7418">
            <w:pPr>
              <w:jc w:val="center"/>
              <w:rPr>
                <w:rFonts w:hint="eastAsia" w:ascii="宋体" w:hAnsi="宋体" w:cs="宋体"/>
                <w:szCs w:val="21"/>
              </w:rPr>
            </w:pPr>
          </w:p>
          <w:p w14:paraId="39DBAE80">
            <w:pPr>
              <w:jc w:val="center"/>
              <w:rPr>
                <w:rFonts w:hint="eastAsia" w:ascii="宋体" w:hAnsi="宋体" w:cs="宋体"/>
                <w:szCs w:val="21"/>
              </w:rPr>
            </w:pPr>
          </w:p>
          <w:p w14:paraId="3BC2246A">
            <w:pPr>
              <w:jc w:val="center"/>
              <w:rPr>
                <w:rFonts w:hint="eastAsia" w:ascii="宋体" w:hAnsi="宋体" w:cs="宋体"/>
                <w:szCs w:val="21"/>
              </w:rPr>
            </w:pPr>
          </w:p>
        </w:tc>
      </w:tr>
      <w:tr w14:paraId="1C01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541B9C03">
            <w:pPr>
              <w:jc w:val="center"/>
              <w:rPr>
                <w:rFonts w:hint="eastAsia" w:ascii="宋体" w:hAnsi="宋体" w:cs="宋体"/>
                <w:b/>
                <w:bCs/>
                <w:szCs w:val="21"/>
              </w:rPr>
            </w:pPr>
            <w:r>
              <w:rPr>
                <w:rFonts w:hint="eastAsia" w:ascii="宋体" w:hAnsi="宋体" w:cs="宋体"/>
                <w:szCs w:val="21"/>
              </w:rPr>
              <w:t>14</w:t>
            </w:r>
          </w:p>
        </w:tc>
        <w:tc>
          <w:tcPr>
            <w:tcW w:w="536" w:type="pct"/>
            <w:vAlign w:val="center"/>
          </w:tcPr>
          <w:p w14:paraId="423D0524">
            <w:pPr>
              <w:pStyle w:val="80"/>
              <w:jc w:val="center"/>
              <w:rPr>
                <w:rFonts w:hint="eastAsia" w:ascii="宋体" w:hAnsi="宋体" w:cs="宋体"/>
              </w:rPr>
            </w:pPr>
            <w:r>
              <w:rPr>
                <w:rFonts w:hint="eastAsia" w:ascii="宋体" w:hAnsi="宋体" w:cs="宋体"/>
              </w:rPr>
              <w:t>纯电动汽车驱动系统装调与检测技术平台</w:t>
            </w:r>
          </w:p>
        </w:tc>
        <w:tc>
          <w:tcPr>
            <w:tcW w:w="3571" w:type="pct"/>
            <w:vAlign w:val="center"/>
          </w:tcPr>
          <w:p w14:paraId="39FB1F0E">
            <w:pPr>
              <w:pStyle w:val="80"/>
              <w:ind w:left="105" w:leftChars="50"/>
              <w:jc w:val="left"/>
              <w:rPr>
                <w:rFonts w:hint="eastAsia" w:ascii="宋体" w:hAnsi="宋体" w:cs="宋体"/>
              </w:rPr>
            </w:pPr>
            <w:r>
              <w:rPr>
                <w:rFonts w:hint="eastAsia" w:ascii="宋体" w:hAnsi="宋体" w:cs="宋体"/>
              </w:rPr>
              <w:t>一、产品简介:</w:t>
            </w:r>
            <w:r>
              <w:rPr>
                <w:rFonts w:hint="eastAsia" w:ascii="宋体" w:hAnsi="宋体" w:cs="宋体"/>
              </w:rPr>
              <w:br w:type="textWrapping"/>
            </w:r>
            <w:r>
              <w:rPr>
                <w:rFonts w:hint="eastAsia" w:ascii="宋体" w:hAnsi="宋体" w:cs="宋体"/>
              </w:rPr>
              <w:t>1、该实训台围绕新能源车用电机及控制系统定向开发，配套整车电机控制器及高压配电箱。可实现永磁同步电机的运行状态演示及常规信号检测。</w:t>
            </w:r>
            <w:r>
              <w:rPr>
                <w:rFonts w:hint="eastAsia" w:ascii="宋体" w:hAnsi="宋体" w:cs="宋体"/>
              </w:rPr>
              <w:br w:type="textWrapping"/>
            </w:r>
            <w:r>
              <w:rPr>
                <w:rFonts w:hint="eastAsia" w:ascii="宋体" w:hAnsi="宋体" w:cs="宋体"/>
              </w:rPr>
              <w:t>二、产品功能要求:</w:t>
            </w:r>
            <w:r>
              <w:rPr>
                <w:rFonts w:hint="eastAsia" w:ascii="宋体" w:hAnsi="宋体" w:cs="宋体"/>
              </w:rPr>
              <w:br w:type="textWrapping"/>
            </w:r>
            <w:r>
              <w:rPr>
                <w:rFonts w:hint="eastAsia" w:ascii="宋体" w:hAnsi="宋体" w:cs="宋体"/>
              </w:rPr>
              <w:t>产品组成：动力总成拆装实训台、智能信息采集检测箱、驱动能量供给平台、三相高压连接线缆、低压通信连接线缆等重要组成件组成。</w:t>
            </w:r>
            <w:r>
              <w:rPr>
                <w:rFonts w:hint="eastAsia" w:ascii="宋体" w:hAnsi="宋体" w:cs="宋体"/>
              </w:rPr>
              <w:br w:type="textWrapping"/>
            </w:r>
            <w:r>
              <w:rPr>
                <w:rFonts w:hint="eastAsia" w:ascii="宋体" w:hAnsi="宋体" w:cs="宋体"/>
              </w:rPr>
              <w:t>1.动力总成拆装实训台</w:t>
            </w:r>
            <w:r>
              <w:rPr>
                <w:rFonts w:hint="eastAsia" w:ascii="宋体" w:hAnsi="宋体" w:cs="宋体"/>
              </w:rPr>
              <w:br w:type="textWrapping"/>
            </w:r>
            <w:r>
              <w:rPr>
                <w:rFonts w:hint="eastAsia" w:ascii="宋体" w:hAnsi="宋体" w:cs="宋体"/>
              </w:rPr>
              <w:t>（1）电动机类型为三相永磁交流同步电机，电动机最大输出扭矩310N.m, 额定扭矩160N.m, 最大输入功率160kW，额定功率80kW，最大输出转速12000rpm。</w:t>
            </w:r>
            <w:r>
              <w:rPr>
                <w:rFonts w:hint="eastAsia" w:ascii="宋体" w:hAnsi="宋体" w:cs="宋体"/>
              </w:rPr>
              <w:br w:type="textWrapping"/>
            </w:r>
            <w:r>
              <w:rPr>
                <w:rFonts w:hint="eastAsia" w:ascii="宋体" w:hAnsi="宋体" w:cs="宋体"/>
              </w:rPr>
              <w:t>（2）变速器为单挡固定齿比变速器，主减速器减速比9.266，一级传动比3.217，主减速传动比2.880，电机轴中心与差速器中心的距离239mm。</w:t>
            </w:r>
            <w:r>
              <w:rPr>
                <w:rFonts w:hint="eastAsia" w:ascii="宋体" w:hAnsi="宋体" w:cs="宋体"/>
              </w:rPr>
              <w:br w:type="textWrapping"/>
            </w:r>
            <w:r>
              <w:rPr>
                <w:rFonts w:hint="eastAsia" w:ascii="宋体" w:hAnsi="宋体" w:cs="宋体"/>
              </w:rPr>
              <w:t>（3）桌面承重面板采用2㎝厚度木板，面板上装有优质不锈钢折弯面板，真不锈钢材质，耐腐蚀，易清洁，受力均匀，承重能力强。</w:t>
            </w:r>
            <w:r>
              <w:rPr>
                <w:rFonts w:hint="eastAsia" w:ascii="宋体" w:hAnsi="宋体" w:cs="宋体"/>
              </w:rPr>
              <w:br w:type="textWrapping"/>
            </w:r>
            <w:r>
              <w:rPr>
                <w:rFonts w:hint="eastAsia" w:ascii="宋体" w:hAnsi="宋体" w:cs="宋体"/>
              </w:rPr>
              <w:t>（4）桌面平铺≥5mm厚度绝缘垫，可有效的避免拆装过程中，部件或油污的滑落对台面造成的损伤，同时也可避免各部件间硬接触造成与元件损坏。</w:t>
            </w:r>
            <w:r>
              <w:rPr>
                <w:rFonts w:hint="eastAsia" w:ascii="宋体" w:hAnsi="宋体" w:cs="宋体"/>
              </w:rPr>
              <w:br w:type="textWrapping"/>
            </w:r>
            <w:r>
              <w:rPr>
                <w:rFonts w:hint="eastAsia" w:ascii="宋体" w:hAnsi="宋体" w:cs="宋体"/>
              </w:rPr>
              <w:t>（5）电机正常运行时，可借助示波器测量三相电的相位与旋变传感器的信号。</w:t>
            </w:r>
            <w:r>
              <w:rPr>
                <w:rFonts w:hint="eastAsia" w:ascii="宋体" w:hAnsi="宋体" w:cs="宋体"/>
              </w:rPr>
              <w:br w:type="textWrapping"/>
            </w:r>
            <w:r>
              <w:rPr>
                <w:rFonts w:hint="eastAsia" w:ascii="宋体" w:hAnsi="宋体" w:cs="宋体"/>
              </w:rPr>
              <w:t>（6）平台设计了电动机与变速箱分离丝杆机构以及变速箱360°任意翻转结构，使动力总成拆装轻便快捷。电动机与变速器分离不需手动操作，有效防止学员训练中的事故隐患。（投标文件中需提供实物图片）</w:t>
            </w:r>
            <w:r>
              <w:rPr>
                <w:rFonts w:hint="eastAsia" w:ascii="宋体" w:hAnsi="宋体" w:cs="宋体"/>
              </w:rPr>
              <w:br w:type="textWrapping"/>
            </w:r>
            <w:r>
              <w:rPr>
                <w:rFonts w:hint="eastAsia" w:ascii="宋体" w:hAnsi="宋体" w:cs="宋体"/>
              </w:rPr>
              <w:t>（7）平台台面四周设计了油槽，齿轮拆卸、清洗、安装时油污直接可以回流到集油装置，保持环境整洁。</w:t>
            </w:r>
            <w:r>
              <w:rPr>
                <w:rFonts w:hint="eastAsia" w:ascii="宋体" w:hAnsi="宋体" w:cs="宋体"/>
              </w:rPr>
              <w:br w:type="textWrapping"/>
            </w:r>
            <w:r>
              <w:rPr>
                <w:rFonts w:hint="eastAsia" w:ascii="宋体" w:hAnsi="宋体" w:cs="宋体"/>
              </w:rPr>
              <w:t>（8）平台采用上下双层结构梁支撑，承重大梁采用80*40的U型型材制作而成，安全稳固。</w:t>
            </w:r>
            <w:r>
              <w:rPr>
                <w:rFonts w:hint="eastAsia" w:ascii="宋体" w:hAnsi="宋体" w:cs="宋体"/>
              </w:rPr>
              <w:br w:type="textWrapping"/>
            </w:r>
            <w:r>
              <w:rPr>
                <w:rFonts w:hint="eastAsia" w:ascii="宋体" w:hAnsi="宋体" w:cs="宋体"/>
              </w:rPr>
              <w:t>（9）平台采用钢质材料，可承受不低于1吨的有效载荷。</w:t>
            </w:r>
            <w:r>
              <w:rPr>
                <w:rFonts w:hint="eastAsia" w:ascii="宋体" w:hAnsi="宋体" w:cs="宋体"/>
              </w:rPr>
              <w:br w:type="textWrapping"/>
            </w:r>
            <w:r>
              <w:rPr>
                <w:rFonts w:hint="eastAsia" w:ascii="宋体" w:hAnsi="宋体" w:cs="宋体"/>
              </w:rPr>
              <w:t>（10）平台有效解决了学员动力总成拆装与调试的高频率技能训练。</w:t>
            </w:r>
            <w:r>
              <w:rPr>
                <w:rFonts w:hint="eastAsia" w:ascii="宋体" w:hAnsi="宋体" w:cs="宋体"/>
              </w:rPr>
              <w:br w:type="textWrapping"/>
            </w:r>
            <w:r>
              <w:rPr>
                <w:rFonts w:hint="eastAsia" w:ascii="宋体" w:hAnsi="宋体" w:cs="宋体"/>
              </w:rPr>
              <w:t>2.智能信息采集检测箱</w:t>
            </w:r>
            <w:r>
              <w:rPr>
                <w:rFonts w:hint="eastAsia" w:ascii="宋体" w:hAnsi="宋体" w:cs="宋体"/>
              </w:rPr>
              <w:br w:type="textWrapping"/>
            </w:r>
            <w:r>
              <w:rPr>
                <w:rFonts w:hint="eastAsia" w:ascii="宋体" w:hAnsi="宋体" w:cs="宋体"/>
              </w:rPr>
              <w:t>（1）实训台配套智能信息采集检测箱，箱体表面喷涂高附着力磨砂黑色烤漆，工艺精湛，美观大方。</w:t>
            </w:r>
            <w:r>
              <w:rPr>
                <w:rFonts w:hint="eastAsia" w:ascii="宋体" w:hAnsi="宋体" w:cs="宋体"/>
              </w:rPr>
              <w:br w:type="textWrapping"/>
            </w:r>
            <w:r>
              <w:rPr>
                <w:rFonts w:hint="eastAsia" w:ascii="宋体" w:hAnsi="宋体" w:cs="宋体"/>
              </w:rPr>
              <w:t>（2）智能信息采集检测箱装有电机低压控制信号输入及输出插头，插头采用新能源原车低压信号插头，最大程度上贴合实车部件教学。</w:t>
            </w:r>
            <w:r>
              <w:rPr>
                <w:rFonts w:hint="eastAsia" w:ascii="宋体" w:hAnsi="宋体" w:cs="宋体"/>
              </w:rPr>
              <w:br w:type="textWrapping"/>
            </w:r>
            <w:r>
              <w:rPr>
                <w:rFonts w:hint="eastAsia" w:ascii="宋体" w:hAnsi="宋体" w:cs="宋体"/>
              </w:rPr>
              <w:t>（3）智能信息采集检测箱装有电机三相电源输入线缆插座，学生可通过配套电机三相线缆完成驱动能量供给平台与智能信息采集检测箱之间的高压线路装配与连接。</w:t>
            </w:r>
            <w:r>
              <w:rPr>
                <w:rFonts w:hint="eastAsia" w:ascii="宋体" w:hAnsi="宋体" w:cs="宋体"/>
              </w:rPr>
              <w:br w:type="textWrapping"/>
            </w:r>
            <w:r>
              <w:rPr>
                <w:rFonts w:hint="eastAsia" w:ascii="宋体" w:hAnsi="宋体" w:cs="宋体"/>
              </w:rPr>
              <w:t>（4）智能信息采集检测箱装有低压通讯线缆插座，学生可通过配套低压通信线束完成驱动能量供给平台与智能信息采集检测箱之间的低压线路装配与连接。</w:t>
            </w:r>
            <w:r>
              <w:rPr>
                <w:rFonts w:hint="eastAsia" w:ascii="宋体" w:hAnsi="宋体" w:cs="宋体"/>
              </w:rPr>
              <w:br w:type="textWrapping"/>
            </w:r>
            <w:r>
              <w:rPr>
                <w:rFonts w:hint="eastAsia" w:ascii="宋体" w:hAnsi="宋体" w:cs="宋体"/>
              </w:rPr>
              <w:t>（5）可借助万用表完成定子绕组相间电压信号检测。</w:t>
            </w:r>
            <w:r>
              <w:rPr>
                <w:rFonts w:hint="eastAsia" w:ascii="宋体" w:hAnsi="宋体" w:cs="宋体"/>
              </w:rPr>
              <w:br w:type="textWrapping"/>
            </w:r>
            <w:r>
              <w:rPr>
                <w:rFonts w:hint="eastAsia" w:ascii="宋体" w:hAnsi="宋体" w:cs="宋体"/>
              </w:rPr>
              <w:t>（6）设备配套有电机三相电压信号、电机旋变信号检测点，可借助示波器等设备对该信号波形进行诊断与分析。（投标文件中需提供旋变检测过程视频截图）</w:t>
            </w:r>
            <w:r>
              <w:rPr>
                <w:rFonts w:hint="eastAsia" w:ascii="宋体" w:hAnsi="宋体" w:cs="宋体"/>
              </w:rPr>
              <w:br w:type="textWrapping"/>
            </w:r>
            <w:r>
              <w:rPr>
                <w:rFonts w:hint="eastAsia" w:ascii="宋体" w:hAnsi="宋体" w:cs="宋体"/>
              </w:rPr>
              <w:t>（7）检测面板采用亚克力材质，表面经特殊工艺喷涂底漆处理；装配具有保护功能的检测端子，检测端子名称采用白色字体丝印。</w:t>
            </w:r>
            <w:r>
              <w:rPr>
                <w:rFonts w:hint="eastAsia" w:ascii="宋体" w:hAnsi="宋体" w:cs="宋体"/>
              </w:rPr>
              <w:br w:type="textWrapping"/>
            </w:r>
            <w:r>
              <w:rPr>
                <w:rFonts w:hint="eastAsia" w:ascii="宋体" w:hAnsi="宋体" w:cs="宋体"/>
              </w:rPr>
              <w:t>3.驱动能量供给平台</w:t>
            </w:r>
            <w:r>
              <w:rPr>
                <w:rFonts w:hint="eastAsia" w:ascii="宋体" w:hAnsi="宋体" w:cs="宋体"/>
              </w:rPr>
              <w:br w:type="textWrapping"/>
            </w:r>
            <w:r>
              <w:rPr>
                <w:rFonts w:hint="eastAsia" w:ascii="宋体" w:hAnsi="宋体" w:cs="宋体"/>
              </w:rPr>
              <w:t>（1）驱动能量供给平台搭载21.5寸超大触摸液晶显示器，平台结构选用坚固冷轧钢板，经过严格的脱脂、酸洗、防锈磷化、纯水清洗、静电喷涂等工艺流程，色泽自然、稳定性高、不易变形、耐水、耐老化。（投标文件中需提供实物图片）</w:t>
            </w:r>
            <w:r>
              <w:rPr>
                <w:rFonts w:hint="eastAsia" w:ascii="宋体" w:hAnsi="宋体" w:cs="宋体"/>
              </w:rPr>
              <w:br w:type="textWrapping"/>
            </w:r>
            <w:r>
              <w:rPr>
                <w:rFonts w:hint="eastAsia" w:ascii="宋体" w:hAnsi="宋体" w:cs="宋体"/>
              </w:rPr>
              <w:t>（2）配套车规级电机控制器，设备通电后，可动态展示电机正反转状态。</w:t>
            </w:r>
            <w:r>
              <w:rPr>
                <w:rFonts w:hint="eastAsia" w:ascii="宋体" w:hAnsi="宋体" w:cs="宋体"/>
              </w:rPr>
              <w:br w:type="textWrapping"/>
            </w:r>
            <w:r>
              <w:rPr>
                <w:rFonts w:hint="eastAsia" w:ascii="宋体" w:hAnsi="宋体" w:cs="宋体"/>
              </w:rPr>
              <w:t>（3）平台配有电机线接口、电机旋变传感器接口及地线接口，可方便连接智能信息采集检测箱为电机供电。</w:t>
            </w:r>
            <w:r>
              <w:rPr>
                <w:rFonts w:hint="eastAsia" w:ascii="宋体" w:hAnsi="宋体" w:cs="宋体"/>
              </w:rPr>
              <w:br w:type="textWrapping"/>
            </w:r>
            <w:r>
              <w:rPr>
                <w:rFonts w:hint="eastAsia" w:ascii="宋体" w:hAnsi="宋体" w:cs="宋体"/>
              </w:rPr>
              <w:t>（4）技术平台具有外接端口，可与动力电池 PACK装调与检测技术平台联动。</w:t>
            </w:r>
            <w:r>
              <w:rPr>
                <w:rFonts w:hint="eastAsia" w:ascii="宋体" w:hAnsi="宋体" w:cs="宋体"/>
              </w:rPr>
              <w:br w:type="textWrapping"/>
            </w:r>
            <w:r>
              <w:rPr>
                <w:rFonts w:hint="eastAsia" w:ascii="宋体" w:hAnsi="宋体" w:cs="宋体"/>
              </w:rPr>
              <w:t>（5）配套超大存储抽屉，抽屉采用实心双排滚珠静音缓冲阻尼导轨固定，抽拉顺滑，平衡力强，导轨表面采用不锈钢拉丝，电镀加工抛光打磨处理，历经盐雾测试，不易生锈，不易褪色。</w:t>
            </w:r>
            <w:r>
              <w:rPr>
                <w:rFonts w:hint="eastAsia" w:ascii="宋体" w:hAnsi="宋体" w:cs="宋体"/>
              </w:rPr>
              <w:br w:type="textWrapping"/>
            </w:r>
            <w:r>
              <w:rPr>
                <w:rFonts w:hint="eastAsia" w:ascii="宋体" w:hAnsi="宋体" w:cs="宋体"/>
              </w:rPr>
              <w:t>（6）抽屉内可存放电机高低压线束，使用方便，美观大方。</w:t>
            </w:r>
            <w:r>
              <w:rPr>
                <w:rFonts w:hint="eastAsia" w:ascii="宋体" w:hAnsi="宋体" w:cs="宋体"/>
              </w:rPr>
              <w:br w:type="textWrapping"/>
            </w:r>
            <w:r>
              <w:rPr>
                <w:rFonts w:hint="eastAsia" w:ascii="宋体" w:hAnsi="宋体" w:cs="宋体"/>
              </w:rPr>
              <w:t>4.驱动能量供给平台搭配智能教学系统</w:t>
            </w:r>
            <w:r>
              <w:rPr>
                <w:rFonts w:hint="eastAsia" w:ascii="宋体" w:hAnsi="宋体" w:cs="宋体"/>
              </w:rPr>
              <w:br w:type="textWrapping"/>
            </w:r>
            <w:r>
              <w:rPr>
                <w:rFonts w:hint="eastAsia" w:ascii="宋体" w:hAnsi="宋体" w:cs="宋体"/>
              </w:rPr>
              <w:t>（1）智能教学系统可控制电机运动</w:t>
            </w:r>
            <w:r>
              <w:rPr>
                <w:rFonts w:hint="eastAsia" w:ascii="宋体" w:hAnsi="宋体" w:cs="宋体"/>
              </w:rPr>
              <w:br w:type="textWrapping"/>
            </w:r>
            <w:r>
              <w:rPr>
                <w:rFonts w:hint="eastAsia" w:ascii="宋体" w:hAnsi="宋体" w:cs="宋体"/>
              </w:rPr>
              <w:t>（2）技术平台配置资源存储计算机和显示器，可存储可视化课程资源和文本资源等，辅助教师开展课堂教学，支持资源远程更新。（投标文件中需提供功能截图）</w:t>
            </w:r>
            <w:r>
              <w:rPr>
                <w:rFonts w:hint="eastAsia" w:ascii="宋体" w:hAnsi="宋体" w:cs="宋体"/>
              </w:rPr>
              <w:br w:type="textWrapping"/>
            </w:r>
            <w:r>
              <w:rPr>
                <w:rFonts w:hint="eastAsia" w:ascii="宋体" w:hAnsi="宋体" w:cs="宋体"/>
              </w:rPr>
              <w:t>三、可完成的实训项目:</w:t>
            </w:r>
            <w:r>
              <w:rPr>
                <w:rFonts w:hint="eastAsia" w:ascii="宋体" w:hAnsi="宋体" w:cs="宋体"/>
              </w:rPr>
              <w:br w:type="textWrapping"/>
            </w:r>
            <w:r>
              <w:rPr>
                <w:rFonts w:hint="eastAsia" w:ascii="宋体" w:hAnsi="宋体" w:cs="宋体"/>
              </w:rPr>
              <w:t>（1）变速箱组件外观检查，如齿轮轮系转动、主轴齿轮、副轴齿轮的、差速器组件等的检查</w:t>
            </w:r>
            <w:r>
              <w:rPr>
                <w:rFonts w:hint="eastAsia" w:ascii="宋体" w:hAnsi="宋体" w:cs="宋体"/>
              </w:rPr>
              <w:br w:type="textWrapping"/>
            </w:r>
            <w:r>
              <w:rPr>
                <w:rFonts w:hint="eastAsia" w:ascii="宋体" w:hAnsi="宋体" w:cs="宋体"/>
              </w:rPr>
              <w:t>（2）差速器组件的高度测量</w:t>
            </w:r>
            <w:r>
              <w:rPr>
                <w:rFonts w:hint="eastAsia" w:ascii="宋体" w:hAnsi="宋体" w:cs="宋体"/>
              </w:rPr>
              <w:br w:type="textWrapping"/>
            </w:r>
            <w:r>
              <w:rPr>
                <w:rFonts w:hint="eastAsia" w:ascii="宋体" w:hAnsi="宋体" w:cs="宋体"/>
              </w:rPr>
              <w:t>（3）后箱体轴承孔底的测量</w:t>
            </w:r>
            <w:r>
              <w:rPr>
                <w:rFonts w:hint="eastAsia" w:ascii="宋体" w:hAnsi="宋体" w:cs="宋体"/>
              </w:rPr>
              <w:br w:type="textWrapping"/>
            </w:r>
            <w:r>
              <w:rPr>
                <w:rFonts w:hint="eastAsia" w:ascii="宋体" w:hAnsi="宋体" w:cs="宋体"/>
              </w:rPr>
              <w:t>（4）选择三轴轴调整垫片厚度</w:t>
            </w:r>
            <w:r>
              <w:rPr>
                <w:rFonts w:hint="eastAsia" w:ascii="宋体" w:hAnsi="宋体" w:cs="宋体"/>
              </w:rPr>
              <w:br w:type="textWrapping"/>
            </w:r>
            <w:r>
              <w:rPr>
                <w:rFonts w:hint="eastAsia" w:ascii="宋体" w:hAnsi="宋体" w:cs="宋体"/>
              </w:rPr>
              <w:t>（5）驱动电机的空转检查</w:t>
            </w:r>
            <w:r>
              <w:rPr>
                <w:rFonts w:hint="eastAsia" w:ascii="宋体" w:hAnsi="宋体" w:cs="宋体"/>
              </w:rPr>
              <w:br w:type="textWrapping"/>
            </w:r>
            <w:r>
              <w:rPr>
                <w:rFonts w:hint="eastAsia" w:ascii="宋体" w:hAnsi="宋体" w:cs="宋体"/>
              </w:rPr>
              <w:t>（6）冷却回路密封性能检查</w:t>
            </w:r>
            <w:r>
              <w:rPr>
                <w:rFonts w:hint="eastAsia" w:ascii="宋体" w:hAnsi="宋体" w:cs="宋体"/>
              </w:rPr>
              <w:br w:type="textWrapping"/>
            </w:r>
            <w:r>
              <w:rPr>
                <w:rFonts w:hint="eastAsia" w:ascii="宋体" w:hAnsi="宋体" w:cs="宋体"/>
              </w:rPr>
              <w:t>（7）冷态绝缘电阻检测</w:t>
            </w:r>
            <w:r>
              <w:rPr>
                <w:rFonts w:hint="eastAsia" w:ascii="宋体" w:hAnsi="宋体" w:cs="宋体"/>
              </w:rPr>
              <w:br w:type="textWrapping"/>
            </w:r>
            <w:r>
              <w:rPr>
                <w:rFonts w:hint="eastAsia" w:ascii="宋体" w:hAnsi="宋体" w:cs="宋体"/>
              </w:rPr>
              <w:t>（8）绕组短路检查</w:t>
            </w:r>
            <w:r>
              <w:rPr>
                <w:rFonts w:hint="eastAsia" w:ascii="宋体" w:hAnsi="宋体" w:cs="宋体"/>
              </w:rPr>
              <w:br w:type="textWrapping"/>
            </w:r>
            <w:r>
              <w:rPr>
                <w:rFonts w:hint="eastAsia" w:ascii="宋体" w:hAnsi="宋体" w:cs="宋体"/>
              </w:rPr>
              <w:t>（9）绕组断路检查</w:t>
            </w:r>
            <w:r>
              <w:rPr>
                <w:rFonts w:hint="eastAsia" w:ascii="宋体" w:hAnsi="宋体" w:cs="宋体"/>
              </w:rPr>
              <w:br w:type="textWrapping"/>
            </w:r>
            <w:r>
              <w:rPr>
                <w:rFonts w:hint="eastAsia" w:ascii="宋体" w:hAnsi="宋体" w:cs="宋体"/>
              </w:rPr>
              <w:t>（10）旋变传感器绕组阻值检查</w:t>
            </w:r>
            <w:r>
              <w:rPr>
                <w:rFonts w:hint="eastAsia" w:ascii="宋体" w:hAnsi="宋体" w:cs="宋体"/>
              </w:rPr>
              <w:br w:type="textWrapping"/>
            </w:r>
            <w:r>
              <w:rPr>
                <w:rFonts w:hint="eastAsia" w:ascii="宋体" w:hAnsi="宋体" w:cs="宋体"/>
              </w:rPr>
              <w:t>（11）电机绕组温度传感器阻值检查</w:t>
            </w:r>
          </w:p>
        </w:tc>
        <w:tc>
          <w:tcPr>
            <w:tcW w:w="357" w:type="pct"/>
            <w:vAlign w:val="center"/>
          </w:tcPr>
          <w:p w14:paraId="71E321EB">
            <w:pPr>
              <w:jc w:val="center"/>
              <w:rPr>
                <w:rFonts w:hint="eastAsia" w:ascii="宋体" w:hAnsi="宋体" w:cs="宋体"/>
                <w:szCs w:val="21"/>
              </w:rPr>
            </w:pPr>
            <w:r>
              <w:rPr>
                <w:rFonts w:hint="eastAsia" w:ascii="宋体" w:hAnsi="宋体" w:cs="宋体"/>
                <w:szCs w:val="21"/>
              </w:rPr>
              <w:t>1</w:t>
            </w:r>
          </w:p>
        </w:tc>
        <w:tc>
          <w:tcPr>
            <w:tcW w:w="341" w:type="pct"/>
            <w:vAlign w:val="center"/>
          </w:tcPr>
          <w:p w14:paraId="3199194D">
            <w:pPr>
              <w:jc w:val="center"/>
              <w:rPr>
                <w:rFonts w:hint="eastAsia" w:ascii="宋体" w:hAnsi="宋体" w:cs="宋体"/>
                <w:szCs w:val="21"/>
              </w:rPr>
            </w:pPr>
          </w:p>
          <w:p w14:paraId="596C6C39">
            <w:pPr>
              <w:jc w:val="center"/>
              <w:rPr>
                <w:rFonts w:hint="eastAsia" w:ascii="宋体" w:hAnsi="宋体" w:cs="宋体"/>
                <w:szCs w:val="21"/>
              </w:rPr>
            </w:pPr>
          </w:p>
          <w:p w14:paraId="2F80AAF6">
            <w:pPr>
              <w:jc w:val="center"/>
              <w:rPr>
                <w:rFonts w:hint="eastAsia" w:ascii="宋体" w:hAnsi="宋体" w:cs="宋体"/>
                <w:szCs w:val="21"/>
              </w:rPr>
            </w:pPr>
          </w:p>
          <w:p w14:paraId="762B7A8D">
            <w:pPr>
              <w:jc w:val="center"/>
              <w:rPr>
                <w:rFonts w:hint="eastAsia" w:ascii="宋体" w:hAnsi="宋体" w:cs="宋体"/>
                <w:szCs w:val="21"/>
              </w:rPr>
            </w:pPr>
          </w:p>
          <w:p w14:paraId="7D097598">
            <w:pPr>
              <w:jc w:val="center"/>
              <w:rPr>
                <w:rFonts w:hint="eastAsia" w:ascii="宋体" w:hAnsi="宋体" w:cs="宋体"/>
                <w:szCs w:val="21"/>
              </w:rPr>
            </w:pPr>
          </w:p>
          <w:p w14:paraId="6EF14A84">
            <w:pPr>
              <w:jc w:val="center"/>
              <w:rPr>
                <w:rFonts w:hint="eastAsia" w:ascii="宋体" w:hAnsi="宋体" w:cs="宋体"/>
                <w:szCs w:val="21"/>
              </w:rPr>
            </w:pPr>
          </w:p>
          <w:p w14:paraId="39C4A55C">
            <w:pPr>
              <w:jc w:val="center"/>
              <w:rPr>
                <w:rFonts w:hint="eastAsia" w:ascii="宋体" w:hAnsi="宋体" w:cs="宋体"/>
                <w:szCs w:val="21"/>
              </w:rPr>
            </w:pPr>
          </w:p>
          <w:p w14:paraId="48089A8E">
            <w:pPr>
              <w:jc w:val="center"/>
              <w:rPr>
                <w:rFonts w:hint="eastAsia" w:ascii="宋体" w:hAnsi="宋体" w:cs="宋体"/>
                <w:szCs w:val="21"/>
              </w:rPr>
            </w:pPr>
          </w:p>
          <w:p w14:paraId="0D1E1527">
            <w:pPr>
              <w:jc w:val="center"/>
              <w:rPr>
                <w:rFonts w:hint="eastAsia" w:ascii="宋体" w:hAnsi="宋体" w:cs="宋体"/>
                <w:szCs w:val="21"/>
              </w:rPr>
            </w:pPr>
          </w:p>
          <w:p w14:paraId="561E2B4B">
            <w:pPr>
              <w:jc w:val="center"/>
              <w:rPr>
                <w:rFonts w:hint="eastAsia" w:ascii="宋体" w:hAnsi="宋体" w:cs="宋体"/>
                <w:szCs w:val="21"/>
              </w:rPr>
            </w:pPr>
          </w:p>
          <w:p w14:paraId="5E6FC9F1">
            <w:pPr>
              <w:jc w:val="center"/>
              <w:rPr>
                <w:rFonts w:hint="eastAsia" w:ascii="宋体" w:hAnsi="宋体" w:cs="宋体"/>
                <w:szCs w:val="21"/>
              </w:rPr>
            </w:pPr>
          </w:p>
          <w:p w14:paraId="01A2F966">
            <w:pPr>
              <w:jc w:val="center"/>
              <w:rPr>
                <w:rFonts w:hint="eastAsia" w:ascii="宋体" w:hAnsi="宋体" w:cs="宋体"/>
                <w:szCs w:val="21"/>
              </w:rPr>
            </w:pPr>
          </w:p>
          <w:p w14:paraId="64465F2C">
            <w:pPr>
              <w:jc w:val="center"/>
              <w:rPr>
                <w:rFonts w:hint="eastAsia" w:ascii="宋体" w:hAnsi="宋体" w:cs="宋体"/>
                <w:szCs w:val="21"/>
              </w:rPr>
            </w:pPr>
          </w:p>
          <w:p w14:paraId="7ABDFFC3">
            <w:pPr>
              <w:jc w:val="center"/>
              <w:rPr>
                <w:rFonts w:hint="eastAsia" w:ascii="宋体" w:hAnsi="宋体" w:cs="宋体"/>
                <w:szCs w:val="21"/>
              </w:rPr>
            </w:pPr>
            <w:r>
              <w:rPr>
                <w:rFonts w:hint="eastAsia" w:ascii="宋体" w:hAnsi="宋体" w:cs="宋体"/>
                <w:szCs w:val="21"/>
              </w:rPr>
              <w:t>套</w:t>
            </w:r>
          </w:p>
          <w:p w14:paraId="6609CCE8">
            <w:pPr>
              <w:jc w:val="center"/>
              <w:rPr>
                <w:rFonts w:hint="eastAsia" w:ascii="宋体" w:hAnsi="宋体" w:cs="宋体"/>
                <w:szCs w:val="21"/>
              </w:rPr>
            </w:pPr>
          </w:p>
          <w:p w14:paraId="2106BDDE">
            <w:pPr>
              <w:jc w:val="center"/>
              <w:rPr>
                <w:rFonts w:hint="eastAsia" w:ascii="宋体" w:hAnsi="宋体" w:cs="宋体"/>
                <w:szCs w:val="21"/>
              </w:rPr>
            </w:pPr>
          </w:p>
          <w:p w14:paraId="1AAEC278">
            <w:pPr>
              <w:jc w:val="center"/>
              <w:rPr>
                <w:rFonts w:hint="eastAsia" w:ascii="宋体" w:hAnsi="宋体" w:cs="宋体"/>
                <w:szCs w:val="21"/>
              </w:rPr>
            </w:pPr>
          </w:p>
          <w:p w14:paraId="3D6740BF">
            <w:pPr>
              <w:jc w:val="center"/>
              <w:rPr>
                <w:rFonts w:hint="eastAsia" w:ascii="宋体" w:hAnsi="宋体" w:cs="宋体"/>
                <w:szCs w:val="21"/>
              </w:rPr>
            </w:pPr>
          </w:p>
          <w:p w14:paraId="3D2BC058">
            <w:pPr>
              <w:jc w:val="center"/>
              <w:rPr>
                <w:rFonts w:hint="eastAsia" w:ascii="宋体" w:hAnsi="宋体" w:cs="宋体"/>
                <w:szCs w:val="21"/>
              </w:rPr>
            </w:pPr>
          </w:p>
          <w:p w14:paraId="527ECB75">
            <w:pPr>
              <w:jc w:val="center"/>
              <w:rPr>
                <w:rFonts w:hint="eastAsia" w:ascii="宋体" w:hAnsi="宋体" w:cs="宋体"/>
                <w:szCs w:val="21"/>
              </w:rPr>
            </w:pPr>
          </w:p>
          <w:p w14:paraId="65501906">
            <w:pPr>
              <w:jc w:val="center"/>
              <w:rPr>
                <w:rFonts w:hint="eastAsia" w:ascii="宋体" w:hAnsi="宋体" w:cs="宋体"/>
                <w:szCs w:val="21"/>
              </w:rPr>
            </w:pPr>
          </w:p>
          <w:p w14:paraId="4CDCECFF">
            <w:pPr>
              <w:jc w:val="center"/>
              <w:rPr>
                <w:rFonts w:hint="eastAsia" w:ascii="宋体" w:hAnsi="宋体" w:cs="宋体"/>
                <w:szCs w:val="21"/>
              </w:rPr>
            </w:pPr>
          </w:p>
          <w:p w14:paraId="527CC91A">
            <w:pPr>
              <w:jc w:val="center"/>
              <w:rPr>
                <w:rFonts w:hint="eastAsia" w:ascii="宋体" w:hAnsi="宋体" w:cs="宋体"/>
                <w:szCs w:val="21"/>
              </w:rPr>
            </w:pPr>
          </w:p>
          <w:p w14:paraId="183BDBD1">
            <w:pPr>
              <w:jc w:val="center"/>
              <w:rPr>
                <w:rFonts w:hint="eastAsia" w:ascii="宋体" w:hAnsi="宋体" w:cs="宋体"/>
                <w:szCs w:val="21"/>
              </w:rPr>
            </w:pPr>
          </w:p>
          <w:p w14:paraId="4B6C8D95">
            <w:pPr>
              <w:jc w:val="center"/>
              <w:rPr>
                <w:rFonts w:hint="eastAsia" w:ascii="宋体" w:hAnsi="宋体" w:cs="宋体"/>
                <w:szCs w:val="21"/>
              </w:rPr>
            </w:pPr>
          </w:p>
          <w:p w14:paraId="1E8070DC">
            <w:pPr>
              <w:jc w:val="center"/>
              <w:rPr>
                <w:rFonts w:hint="eastAsia" w:ascii="宋体" w:hAnsi="宋体" w:cs="宋体"/>
                <w:szCs w:val="21"/>
              </w:rPr>
            </w:pPr>
          </w:p>
          <w:p w14:paraId="407678B2">
            <w:pPr>
              <w:jc w:val="center"/>
              <w:rPr>
                <w:rFonts w:hint="eastAsia" w:ascii="宋体" w:hAnsi="宋体" w:cs="宋体"/>
                <w:szCs w:val="21"/>
              </w:rPr>
            </w:pPr>
          </w:p>
        </w:tc>
      </w:tr>
      <w:tr w14:paraId="5B179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70E25935">
            <w:pPr>
              <w:jc w:val="center"/>
              <w:rPr>
                <w:rFonts w:hint="eastAsia" w:ascii="宋体" w:hAnsi="宋体" w:cs="宋体"/>
                <w:b/>
                <w:bCs/>
                <w:szCs w:val="21"/>
              </w:rPr>
            </w:pPr>
            <w:r>
              <w:rPr>
                <w:rFonts w:hint="eastAsia" w:ascii="宋体" w:hAnsi="宋体" w:cs="宋体"/>
                <w:szCs w:val="21"/>
              </w:rPr>
              <w:t>15</w:t>
            </w:r>
          </w:p>
        </w:tc>
        <w:tc>
          <w:tcPr>
            <w:tcW w:w="536" w:type="pct"/>
            <w:vAlign w:val="center"/>
          </w:tcPr>
          <w:p w14:paraId="368533E0">
            <w:pPr>
              <w:jc w:val="center"/>
              <w:rPr>
                <w:rFonts w:hint="eastAsia" w:ascii="宋体" w:hAnsi="宋体" w:cs="宋体"/>
                <w:szCs w:val="21"/>
              </w:rPr>
            </w:pPr>
            <w:r>
              <w:rPr>
                <w:rFonts w:hint="eastAsia" w:ascii="宋体" w:hAnsi="宋体" w:cs="宋体"/>
                <w:szCs w:val="21"/>
              </w:rPr>
              <w:t>充电桩教学实训系统</w:t>
            </w:r>
          </w:p>
        </w:tc>
        <w:tc>
          <w:tcPr>
            <w:tcW w:w="3571" w:type="pct"/>
            <w:vAlign w:val="center"/>
          </w:tcPr>
          <w:p w14:paraId="2F23E853">
            <w:pPr>
              <w:pStyle w:val="80"/>
              <w:ind w:left="105" w:leftChars="50"/>
              <w:jc w:val="left"/>
              <w:rPr>
                <w:rFonts w:hint="eastAsia" w:ascii="宋体" w:hAnsi="宋体" w:cs="宋体"/>
              </w:rPr>
            </w:pPr>
            <w:r>
              <w:rPr>
                <w:rFonts w:hint="eastAsia" w:ascii="宋体" w:hAnsi="宋体" w:cs="宋体"/>
              </w:rPr>
              <w:t>一、产品组成要求：</w:t>
            </w:r>
            <w:r>
              <w:rPr>
                <w:rFonts w:hint="eastAsia" w:ascii="宋体" w:hAnsi="宋体" w:cs="宋体"/>
              </w:rPr>
              <w:br w:type="textWrapping"/>
            </w:r>
            <w:r>
              <w:rPr>
                <w:rFonts w:hint="eastAsia" w:ascii="宋体" w:hAnsi="宋体" w:cs="宋体"/>
              </w:rPr>
              <w:t>1、7KW立式充电桩:开门式充电桩壳体、急停开关、标准桩端充电枪、5吋触摸显示屏、充电状态指示灯、IC卡读取模块、充电桩主控模块、无线通讯模块、数字电量表、防浪涌保护器、漏电保护器、接线排、充电桩固定低托盘。</w:t>
            </w:r>
            <w:r>
              <w:rPr>
                <w:rFonts w:hint="eastAsia" w:ascii="宋体" w:hAnsi="宋体" w:cs="宋体"/>
              </w:rPr>
              <w:br w:type="textWrapping"/>
            </w:r>
            <w:r>
              <w:rPr>
                <w:rFonts w:hint="eastAsia" w:ascii="宋体" w:hAnsi="宋体" w:cs="宋体"/>
              </w:rPr>
              <w:t>2、充电桩测试装置：国标车端交流充电接口、验证按钮、工作指示灯、测试装置盒。</w:t>
            </w:r>
            <w:r>
              <w:rPr>
                <w:rFonts w:hint="eastAsia" w:ascii="宋体" w:hAnsi="宋体" w:cs="宋体"/>
              </w:rPr>
              <w:br w:type="textWrapping"/>
            </w:r>
            <w:r>
              <w:rPr>
                <w:rFonts w:hint="eastAsia" w:ascii="宋体" w:hAnsi="宋体" w:cs="宋体"/>
              </w:rPr>
              <w:t>二、产品功能要求：</w:t>
            </w:r>
            <w:r>
              <w:rPr>
                <w:rFonts w:hint="eastAsia" w:ascii="宋体" w:hAnsi="宋体" w:cs="宋体"/>
              </w:rPr>
              <w:br w:type="textWrapping"/>
            </w:r>
            <w:r>
              <w:rPr>
                <w:rFonts w:hint="eastAsia" w:ascii="宋体" w:hAnsi="宋体" w:cs="宋体"/>
              </w:rPr>
              <w:t>1、充电桩采用柜式结构，下面支架进行加固。</w:t>
            </w:r>
            <w:r>
              <w:rPr>
                <w:rFonts w:hint="eastAsia" w:ascii="宋体" w:hAnsi="宋体" w:cs="宋体"/>
              </w:rPr>
              <w:br w:type="textWrapping"/>
            </w:r>
            <w:r>
              <w:rPr>
                <w:rFonts w:hint="eastAsia" w:ascii="宋体" w:hAnsi="宋体" w:cs="宋体"/>
              </w:rPr>
              <w:t>2、充电桩均采用知名厂家配件及电源导线，可保证反复拆装及连线使用。</w:t>
            </w:r>
            <w:r>
              <w:rPr>
                <w:rFonts w:hint="eastAsia" w:ascii="宋体" w:hAnsi="宋体" w:cs="宋体"/>
              </w:rPr>
              <w:br w:type="textWrapping"/>
            </w:r>
            <w:r>
              <w:rPr>
                <w:rFonts w:hint="eastAsia" w:ascii="宋体" w:hAnsi="宋体" w:cs="宋体"/>
              </w:rPr>
              <w:t>3、充电桩配有详细的装配与检修操作细则。</w:t>
            </w:r>
            <w:r>
              <w:rPr>
                <w:rFonts w:hint="eastAsia" w:ascii="宋体" w:hAnsi="宋体" w:cs="宋体"/>
              </w:rPr>
              <w:br w:type="textWrapping"/>
            </w:r>
            <w:r>
              <w:rPr>
                <w:rFonts w:hint="eastAsia" w:ascii="宋体" w:hAnsi="宋体" w:cs="宋体"/>
              </w:rPr>
              <w:t>4、充电桩配有详细的电路原理图，便于器件连线及查找故障。</w:t>
            </w:r>
            <w:r>
              <w:rPr>
                <w:rFonts w:hint="eastAsia" w:ascii="宋体" w:hAnsi="宋体" w:cs="宋体"/>
              </w:rPr>
              <w:br w:type="textWrapping"/>
            </w:r>
            <w:r>
              <w:rPr>
                <w:rFonts w:hint="eastAsia" w:ascii="宋体" w:hAnsi="宋体" w:cs="宋体"/>
              </w:rPr>
              <w:t>5、充电桩完成连线及调试后，充电桩插头连接工作平台上的国标交流充电插座车辆端，即可验证接线的正确性。</w:t>
            </w:r>
            <w:r>
              <w:rPr>
                <w:rFonts w:hint="eastAsia" w:ascii="宋体" w:hAnsi="宋体" w:cs="宋体"/>
              </w:rPr>
              <w:br w:type="textWrapping"/>
            </w:r>
            <w:r>
              <w:rPr>
                <w:rFonts w:hint="eastAsia" w:ascii="宋体" w:hAnsi="宋体" w:cs="宋体"/>
              </w:rPr>
              <w:t>6、充电桩有完善的安全保护功能，具有输入侧过压、欠压保护，输出侧过压、过流保护，过温、短路、漏电、防雷等保护。</w:t>
            </w:r>
            <w:r>
              <w:rPr>
                <w:rFonts w:hint="eastAsia" w:ascii="宋体" w:hAnsi="宋体" w:cs="宋体"/>
              </w:rPr>
              <w:br w:type="textWrapping"/>
            </w:r>
            <w:r>
              <w:rPr>
                <w:rFonts w:hint="eastAsia" w:ascii="宋体" w:hAnsi="宋体" w:cs="宋体"/>
              </w:rPr>
              <w:t>7、充电桩正面的人机界面可动态显示实时的充电电压、充电电流、充电电量、充电时间等信息。</w:t>
            </w:r>
            <w:r>
              <w:rPr>
                <w:rFonts w:hint="eastAsia" w:ascii="宋体" w:hAnsi="宋体" w:cs="宋体"/>
              </w:rPr>
              <w:br w:type="textWrapping"/>
            </w:r>
            <w:r>
              <w:rPr>
                <w:rFonts w:hint="eastAsia" w:ascii="宋体" w:hAnsi="宋体" w:cs="宋体"/>
              </w:rPr>
              <w:t>8、具有充电、急停按钮开关、连接确认检测、充电温度检测等功能，全方位保证充电安全。</w:t>
            </w:r>
            <w:r>
              <w:rPr>
                <w:rFonts w:hint="eastAsia" w:ascii="宋体" w:hAnsi="宋体" w:cs="宋体"/>
              </w:rPr>
              <w:br w:type="textWrapping"/>
            </w:r>
            <w:r>
              <w:rPr>
                <w:rFonts w:hint="eastAsia" w:ascii="宋体" w:hAnsi="宋体" w:cs="宋体"/>
              </w:rPr>
              <w:t>9、充电桩具有参数可设置功能，学生或教师可以根据自行需求来设定充电桩的信息参数。</w:t>
            </w:r>
            <w:r>
              <w:rPr>
                <w:rFonts w:hint="eastAsia" w:ascii="宋体" w:hAnsi="宋体" w:cs="宋体"/>
              </w:rPr>
              <w:br w:type="textWrapping"/>
            </w:r>
            <w:r>
              <w:rPr>
                <w:rFonts w:hint="eastAsia" w:ascii="宋体" w:hAnsi="宋体" w:cs="宋体"/>
              </w:rPr>
              <w:t xml:space="preserve"> 充电方式四种选择：按金额充电、按电量充电、按时间充电、自动充满</w:t>
            </w:r>
            <w:r>
              <w:rPr>
                <w:rFonts w:hint="eastAsia" w:ascii="宋体" w:hAnsi="宋体" w:cs="宋体"/>
              </w:rPr>
              <w:br w:type="textWrapping"/>
            </w:r>
            <w:r>
              <w:rPr>
                <w:rFonts w:hint="eastAsia" w:ascii="宋体" w:hAnsi="宋体" w:cs="宋体"/>
              </w:rPr>
              <w:t xml:space="preserve"> 系统管理：时间设置、费率设置、系统测试、终端号设置、通信设置、密码设置、余额设置、信息查询、系统设置。 </w:t>
            </w:r>
            <w:r>
              <w:rPr>
                <w:rFonts w:hint="eastAsia" w:ascii="宋体" w:hAnsi="宋体" w:cs="宋体"/>
              </w:rPr>
              <w:br w:type="textWrapping"/>
            </w:r>
            <w:r>
              <w:rPr>
                <w:rFonts w:hint="eastAsia" w:ascii="宋体" w:hAnsi="宋体" w:cs="宋体"/>
              </w:rPr>
              <w:t xml:space="preserve">  其中费率设置中可以设置在不同时间段设置不同的费率和相应的服务费。</w:t>
            </w:r>
            <w:r>
              <w:rPr>
                <w:rFonts w:hint="eastAsia" w:ascii="宋体" w:hAnsi="宋体" w:cs="宋体"/>
              </w:rPr>
              <w:br w:type="textWrapping"/>
            </w:r>
            <w:r>
              <w:rPr>
                <w:rFonts w:hint="eastAsia" w:ascii="宋体" w:hAnsi="宋体" w:cs="宋体"/>
              </w:rPr>
              <w:t>10、 实训台使用的交流充电桩符合国家各项标准；</w:t>
            </w:r>
            <w:r>
              <w:rPr>
                <w:rFonts w:hint="eastAsia" w:ascii="宋体" w:hAnsi="宋体" w:cs="宋体"/>
              </w:rPr>
              <w:br w:type="textWrapping"/>
            </w:r>
            <w:r>
              <w:rPr>
                <w:rFonts w:hint="eastAsia" w:ascii="宋体" w:hAnsi="宋体" w:cs="宋体"/>
              </w:rPr>
              <w:t xml:space="preserve">      GB/T 18487.1-2015《电动汽车传导充电系统第1部分：通用要求》</w:t>
            </w:r>
            <w:r>
              <w:rPr>
                <w:rFonts w:hint="eastAsia" w:ascii="宋体" w:hAnsi="宋体" w:cs="宋体"/>
              </w:rPr>
              <w:br w:type="textWrapping"/>
            </w:r>
            <w:r>
              <w:rPr>
                <w:rFonts w:hint="eastAsia" w:ascii="宋体" w:hAnsi="宋体" w:cs="宋体"/>
              </w:rPr>
              <w:t xml:space="preserve">      GB/T 20234.2-2015《电动汽车传导充电用连接装置第1部分：通用要求》</w:t>
            </w:r>
            <w:r>
              <w:rPr>
                <w:rFonts w:hint="eastAsia" w:ascii="宋体" w:hAnsi="宋体" w:cs="宋体"/>
              </w:rPr>
              <w:br w:type="textWrapping"/>
            </w:r>
            <w:r>
              <w:rPr>
                <w:rFonts w:hint="eastAsia" w:ascii="宋体" w:hAnsi="宋体" w:cs="宋体"/>
              </w:rPr>
              <w:t xml:space="preserve">      GB/T 20234.2-2015《电动汽车传导充电用连接装置第2部分：交流充电接口》</w:t>
            </w:r>
            <w:r>
              <w:rPr>
                <w:rFonts w:hint="eastAsia" w:ascii="宋体" w:hAnsi="宋体" w:cs="宋体"/>
              </w:rPr>
              <w:br w:type="textWrapping"/>
            </w:r>
            <w:r>
              <w:rPr>
                <w:rFonts w:hint="eastAsia" w:ascii="宋体" w:hAnsi="宋体" w:cs="宋体"/>
              </w:rPr>
              <w:t xml:space="preserve">      GB/T 27930-2015《电动汽车非车载传导式充电机与电池管理系统之间的通信协议》</w:t>
            </w:r>
            <w:r>
              <w:rPr>
                <w:rFonts w:hint="eastAsia" w:ascii="宋体" w:hAnsi="宋体" w:cs="宋体"/>
              </w:rPr>
              <w:br w:type="textWrapping"/>
            </w:r>
            <w:r>
              <w:rPr>
                <w:rFonts w:hint="eastAsia" w:ascii="宋体" w:hAnsi="宋体" w:cs="宋体"/>
              </w:rPr>
              <w:t xml:space="preserve">      GB/T19596-2004《电动汽车术语》</w:t>
            </w:r>
            <w:r>
              <w:rPr>
                <w:rFonts w:hint="eastAsia" w:ascii="宋体" w:hAnsi="宋体" w:cs="宋体"/>
              </w:rPr>
              <w:br w:type="textWrapping"/>
            </w:r>
            <w:r>
              <w:rPr>
                <w:rFonts w:hint="eastAsia" w:ascii="宋体" w:hAnsi="宋体" w:cs="宋体"/>
              </w:rPr>
              <w:t>四、教学及实训项目</w:t>
            </w:r>
            <w:r>
              <w:rPr>
                <w:rFonts w:hint="eastAsia" w:ascii="宋体" w:hAnsi="宋体" w:cs="宋体"/>
              </w:rPr>
              <w:br w:type="textWrapping"/>
            </w:r>
            <w:r>
              <w:rPr>
                <w:rFonts w:hint="eastAsia" w:ascii="宋体" w:hAnsi="宋体" w:cs="宋体"/>
              </w:rPr>
              <w:t>1.交流充电桩原理教学。</w:t>
            </w:r>
            <w:r>
              <w:rPr>
                <w:rFonts w:hint="eastAsia" w:ascii="宋体" w:hAnsi="宋体" w:cs="宋体"/>
              </w:rPr>
              <w:br w:type="textWrapping"/>
            </w:r>
            <w:r>
              <w:rPr>
                <w:rFonts w:hint="eastAsia" w:ascii="宋体" w:hAnsi="宋体" w:cs="宋体"/>
              </w:rPr>
              <w:t>2.交流充电桩系统模块组装练习。</w:t>
            </w:r>
            <w:r>
              <w:rPr>
                <w:rFonts w:hint="eastAsia" w:ascii="宋体" w:hAnsi="宋体" w:cs="宋体"/>
              </w:rPr>
              <w:br w:type="textWrapping"/>
            </w:r>
            <w:r>
              <w:rPr>
                <w:rFonts w:hint="eastAsia" w:ascii="宋体" w:hAnsi="宋体" w:cs="宋体"/>
              </w:rPr>
              <w:t>3.交流充电桩故障诊断。</w:t>
            </w:r>
            <w:r>
              <w:rPr>
                <w:rFonts w:hint="eastAsia" w:ascii="宋体" w:hAnsi="宋体" w:cs="宋体"/>
              </w:rPr>
              <w:br w:type="textWrapping"/>
            </w:r>
            <w:r>
              <w:rPr>
                <w:rFonts w:hint="eastAsia" w:ascii="宋体" w:hAnsi="宋体" w:cs="宋体"/>
              </w:rPr>
              <w:t>4.交流充电桩系统参数设定认知及练习。</w:t>
            </w:r>
            <w:r>
              <w:rPr>
                <w:rFonts w:hint="eastAsia" w:ascii="宋体" w:hAnsi="宋体" w:cs="宋体"/>
              </w:rPr>
              <w:br w:type="textWrapping"/>
            </w:r>
            <w:r>
              <w:rPr>
                <w:rFonts w:hint="eastAsia" w:ascii="宋体" w:hAnsi="宋体" w:cs="宋体"/>
              </w:rPr>
              <w:t>5.充电桩与车辆对接信号检测诊断。</w:t>
            </w:r>
            <w:r>
              <w:rPr>
                <w:rFonts w:hint="eastAsia" w:ascii="宋体" w:hAnsi="宋体" w:cs="宋体"/>
              </w:rPr>
              <w:br w:type="textWrapping"/>
            </w:r>
            <w:r>
              <w:rPr>
                <w:rFonts w:hint="eastAsia" w:ascii="宋体" w:hAnsi="宋体" w:cs="宋体"/>
              </w:rPr>
              <w:t>（投标文件里需提供检查设备、工具和安全防护用具的截图图片、安装漏电保护器模块的截图图片、安装导线到各模块的截图图片、安装完毕后进行测试的截图图片、对充电桩进行设置的截图图片）</w:t>
            </w:r>
          </w:p>
        </w:tc>
        <w:tc>
          <w:tcPr>
            <w:tcW w:w="357" w:type="pct"/>
            <w:vAlign w:val="center"/>
          </w:tcPr>
          <w:p w14:paraId="0F948ABA">
            <w:pPr>
              <w:jc w:val="center"/>
              <w:rPr>
                <w:rFonts w:hint="eastAsia" w:ascii="宋体" w:hAnsi="宋体" w:cs="宋体"/>
                <w:szCs w:val="21"/>
              </w:rPr>
            </w:pPr>
            <w:r>
              <w:rPr>
                <w:rFonts w:hint="eastAsia" w:ascii="宋体" w:hAnsi="宋体" w:cs="宋体"/>
                <w:szCs w:val="21"/>
              </w:rPr>
              <w:t>2</w:t>
            </w:r>
          </w:p>
        </w:tc>
        <w:tc>
          <w:tcPr>
            <w:tcW w:w="341" w:type="pct"/>
            <w:vAlign w:val="center"/>
          </w:tcPr>
          <w:p w14:paraId="509ABB7D">
            <w:pPr>
              <w:jc w:val="center"/>
              <w:rPr>
                <w:rFonts w:hint="eastAsia" w:ascii="宋体" w:hAnsi="宋体" w:cs="宋体"/>
                <w:szCs w:val="21"/>
              </w:rPr>
            </w:pPr>
            <w:r>
              <w:rPr>
                <w:rFonts w:hint="eastAsia" w:ascii="宋体" w:hAnsi="宋体" w:cs="宋体"/>
                <w:szCs w:val="21"/>
              </w:rPr>
              <w:t>套</w:t>
            </w:r>
          </w:p>
        </w:tc>
      </w:tr>
      <w:tr w14:paraId="5DC3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329221E5">
            <w:pPr>
              <w:jc w:val="center"/>
              <w:rPr>
                <w:rFonts w:hint="eastAsia" w:ascii="宋体" w:hAnsi="宋体" w:cs="宋体"/>
                <w:b/>
                <w:bCs/>
                <w:szCs w:val="21"/>
              </w:rPr>
            </w:pPr>
            <w:r>
              <w:rPr>
                <w:rFonts w:hint="eastAsia" w:ascii="宋体" w:hAnsi="宋体" w:cs="宋体"/>
                <w:szCs w:val="21"/>
              </w:rPr>
              <w:t>16</w:t>
            </w:r>
          </w:p>
        </w:tc>
        <w:tc>
          <w:tcPr>
            <w:tcW w:w="536" w:type="pct"/>
            <w:vAlign w:val="center"/>
          </w:tcPr>
          <w:p w14:paraId="2B2B1646">
            <w:pPr>
              <w:pStyle w:val="80"/>
              <w:jc w:val="center"/>
              <w:rPr>
                <w:rFonts w:hint="eastAsia" w:ascii="宋体" w:hAnsi="宋体" w:cs="宋体"/>
              </w:rPr>
            </w:pPr>
            <w:r>
              <w:rPr>
                <w:rFonts w:hint="eastAsia" w:ascii="宋体" w:hAnsi="宋体" w:cs="宋体"/>
              </w:rPr>
              <w:t>交直流充电智能实训台</w:t>
            </w:r>
          </w:p>
        </w:tc>
        <w:tc>
          <w:tcPr>
            <w:tcW w:w="3571" w:type="pct"/>
            <w:vAlign w:val="center"/>
          </w:tcPr>
          <w:p w14:paraId="2F024B3B">
            <w:pPr>
              <w:pStyle w:val="80"/>
              <w:ind w:left="105" w:leftChars="50"/>
              <w:jc w:val="left"/>
              <w:rPr>
                <w:rFonts w:hint="eastAsia" w:ascii="宋体" w:hAnsi="宋体" w:cs="宋体"/>
              </w:rPr>
            </w:pPr>
            <w:r>
              <w:rPr>
                <w:rFonts w:hint="eastAsia" w:ascii="宋体" w:hAnsi="宋体" w:cs="宋体"/>
              </w:rPr>
              <w:t>一、产品组成要求：</w:t>
            </w:r>
            <w:r>
              <w:rPr>
                <w:rFonts w:hint="eastAsia" w:ascii="宋体" w:hAnsi="宋体" w:cs="宋体"/>
              </w:rPr>
              <w:br w:type="textWrapping"/>
            </w:r>
            <w:r>
              <w:rPr>
                <w:rFonts w:hint="eastAsia" w:ascii="宋体" w:hAnsi="宋体" w:cs="宋体"/>
              </w:rPr>
              <w:t>1、交流充电桩总成、便携式直流充电桩、可移动式铝型材工艺的示教板等组成。</w:t>
            </w:r>
            <w:r>
              <w:rPr>
                <w:rFonts w:hint="eastAsia" w:ascii="宋体" w:hAnsi="宋体" w:cs="宋体"/>
              </w:rPr>
              <w:br w:type="textWrapping"/>
            </w:r>
            <w:r>
              <w:rPr>
                <w:rFonts w:hint="eastAsia" w:ascii="宋体" w:hAnsi="宋体" w:cs="宋体"/>
              </w:rPr>
              <w:t>二、产品功能要求：</w:t>
            </w:r>
            <w:r>
              <w:rPr>
                <w:rFonts w:hint="eastAsia" w:ascii="宋体" w:hAnsi="宋体" w:cs="宋体"/>
              </w:rPr>
              <w:br w:type="textWrapping"/>
            </w:r>
            <w:r>
              <w:rPr>
                <w:rFonts w:hint="eastAsia" w:ascii="宋体" w:hAnsi="宋体" w:cs="宋体"/>
              </w:rPr>
              <w:t>1、由真实可运行的插电式纯电动汽车充电系统组成。实训系统中所涉及的国标交流充电口、直流充电口在示教面板上注明充电枪中各管脚定义及作用；</w:t>
            </w:r>
            <w:r>
              <w:rPr>
                <w:rFonts w:hint="eastAsia" w:ascii="宋体" w:hAnsi="宋体" w:cs="宋体"/>
              </w:rPr>
              <w:br w:type="textWrapping"/>
            </w:r>
            <w:r>
              <w:rPr>
                <w:rFonts w:hint="eastAsia" w:ascii="宋体" w:hAnsi="宋体" w:cs="宋体"/>
              </w:rPr>
              <w:t>2、实训系统台架面板上提取插电式纯电动汽车交流充电口、直流充电口与交流充电枪和直流充电枪连接过程中的相关信号，如直流充电口中车辆端BSM充电网总线信号、低压辅助电源等信号，可使用相关测量设备测量车辆在充电过程中的车辆与充电桩线路中的相关信号数据。</w:t>
            </w:r>
            <w:r>
              <w:rPr>
                <w:rFonts w:hint="eastAsia" w:ascii="宋体" w:hAnsi="宋体" w:cs="宋体"/>
              </w:rPr>
              <w:br w:type="textWrapping"/>
            </w:r>
            <w:r>
              <w:rPr>
                <w:rFonts w:hint="eastAsia" w:ascii="宋体" w:hAnsi="宋体" w:cs="宋体"/>
              </w:rPr>
              <w:t>3、实训系统示教面板上安装的交流充电桩和便携式直流充电桩可满足插电式电动汽车充电过程中符合国标要求的相关保护策略，如短路保护、温度保护、过压过流保护、欠压保护、握手失败保护等；</w:t>
            </w:r>
            <w:r>
              <w:rPr>
                <w:rFonts w:hint="eastAsia" w:ascii="宋体" w:hAnsi="宋体" w:cs="宋体"/>
              </w:rPr>
              <w:br w:type="textWrapping"/>
            </w:r>
            <w:r>
              <w:rPr>
                <w:rFonts w:hint="eastAsia" w:ascii="宋体" w:hAnsi="宋体" w:cs="宋体"/>
              </w:rPr>
              <w:t>4、实训台面板上UV喷应有国标交流充电、直流充电原理图。便于了解掌握纯电动汽车交流充电过程及纯电动汽车直流充电过程。</w:t>
            </w:r>
            <w:r>
              <w:rPr>
                <w:rFonts w:hint="eastAsia" w:ascii="宋体" w:hAnsi="宋体" w:cs="宋体"/>
              </w:rPr>
              <w:br w:type="textWrapping"/>
            </w:r>
            <w:r>
              <w:rPr>
                <w:rFonts w:hint="eastAsia" w:ascii="宋体" w:hAnsi="宋体" w:cs="宋体"/>
              </w:rPr>
              <w:t>三、产品工艺要求;</w:t>
            </w:r>
            <w:r>
              <w:rPr>
                <w:rFonts w:hint="eastAsia" w:ascii="宋体" w:hAnsi="宋体" w:cs="宋体"/>
              </w:rPr>
              <w:br w:type="textWrapping"/>
            </w:r>
            <w:r>
              <w:rPr>
                <w:rFonts w:hint="eastAsia" w:ascii="宋体" w:hAnsi="宋体" w:cs="宋体"/>
              </w:rPr>
              <w:t>1、实训台面板采用4mm厚耐腐蚀、耐创击、耐污染、防火、防潮的高级铝塑板，表面经特殊工艺喷涂底漆处理；面板打印有永不褪色的彩色电路图。</w:t>
            </w:r>
            <w:r>
              <w:rPr>
                <w:rFonts w:hint="eastAsia" w:ascii="宋体" w:hAnsi="宋体" w:cs="宋体"/>
              </w:rPr>
              <w:br w:type="textWrapping"/>
            </w:r>
            <w:r>
              <w:rPr>
                <w:rFonts w:hint="eastAsia" w:ascii="宋体" w:hAnsi="宋体" w:cs="宋体"/>
              </w:rPr>
              <w:t>2、实训台配备有电源总开关、绝缘护套等安装保护装置。</w:t>
            </w:r>
            <w:r>
              <w:rPr>
                <w:rFonts w:hint="eastAsia" w:ascii="宋体" w:hAnsi="宋体" w:cs="宋体"/>
              </w:rPr>
              <w:br w:type="textWrapping"/>
            </w:r>
            <w:r>
              <w:rPr>
                <w:rFonts w:hint="eastAsia" w:ascii="宋体" w:hAnsi="宋体" w:cs="宋体"/>
              </w:rPr>
              <w:t>3、实训台底座采用钢结构焊接，表面采用喷涂工艺处理，带自锁脚轮装置，移动灵活，安全可靠、坚固耐用。</w:t>
            </w:r>
            <w:r>
              <w:rPr>
                <w:rFonts w:hint="eastAsia" w:ascii="宋体" w:hAnsi="宋体" w:cs="宋体"/>
              </w:rPr>
              <w:br w:type="textWrapping"/>
            </w:r>
            <w:r>
              <w:rPr>
                <w:rFonts w:hint="eastAsia" w:ascii="宋体" w:hAnsi="宋体" w:cs="宋体"/>
              </w:rPr>
              <w:t>四、教学及实训项目</w:t>
            </w:r>
            <w:r>
              <w:rPr>
                <w:rFonts w:hint="eastAsia" w:ascii="宋体" w:hAnsi="宋体" w:cs="宋体"/>
              </w:rPr>
              <w:br w:type="textWrapping"/>
            </w:r>
            <w:r>
              <w:rPr>
                <w:rFonts w:hint="eastAsia" w:ascii="宋体" w:hAnsi="宋体" w:cs="宋体"/>
              </w:rPr>
              <w:t>1、了解电动汽车交流充电桩、直流充电桩的结构组成；</w:t>
            </w:r>
            <w:r>
              <w:rPr>
                <w:rFonts w:hint="eastAsia" w:ascii="宋体" w:hAnsi="宋体" w:cs="宋体"/>
              </w:rPr>
              <w:br w:type="textWrapping"/>
            </w:r>
            <w:r>
              <w:rPr>
                <w:rFonts w:hint="eastAsia" w:ascii="宋体" w:hAnsi="宋体" w:cs="宋体"/>
              </w:rPr>
              <w:t>2、了解纯电动车交流充电桩、直流充电桩基本工作原理；</w:t>
            </w:r>
            <w:r>
              <w:rPr>
                <w:rFonts w:hint="eastAsia" w:ascii="宋体" w:hAnsi="宋体" w:cs="宋体"/>
              </w:rPr>
              <w:br w:type="textWrapping"/>
            </w:r>
            <w:r>
              <w:rPr>
                <w:rFonts w:hint="eastAsia" w:ascii="宋体" w:hAnsi="宋体" w:cs="宋体"/>
              </w:rPr>
              <w:t>3、了解电动车交流充电与直流充电的控制过程与区别。</w:t>
            </w:r>
          </w:p>
        </w:tc>
        <w:tc>
          <w:tcPr>
            <w:tcW w:w="357" w:type="pct"/>
            <w:vAlign w:val="center"/>
          </w:tcPr>
          <w:p w14:paraId="060CDB12">
            <w:pPr>
              <w:jc w:val="center"/>
              <w:rPr>
                <w:rFonts w:hint="eastAsia" w:ascii="宋体" w:hAnsi="宋体" w:cs="宋体"/>
                <w:szCs w:val="21"/>
              </w:rPr>
            </w:pPr>
            <w:r>
              <w:rPr>
                <w:rFonts w:hint="eastAsia" w:ascii="宋体" w:hAnsi="宋体" w:cs="宋体"/>
                <w:szCs w:val="21"/>
              </w:rPr>
              <w:t>2</w:t>
            </w:r>
          </w:p>
        </w:tc>
        <w:tc>
          <w:tcPr>
            <w:tcW w:w="341" w:type="pct"/>
            <w:vAlign w:val="center"/>
          </w:tcPr>
          <w:p w14:paraId="363D03B4">
            <w:pPr>
              <w:jc w:val="center"/>
              <w:rPr>
                <w:rFonts w:hint="eastAsia" w:ascii="宋体" w:hAnsi="宋体" w:cs="宋体"/>
                <w:szCs w:val="21"/>
              </w:rPr>
            </w:pPr>
            <w:r>
              <w:rPr>
                <w:rFonts w:hint="eastAsia" w:ascii="宋体" w:hAnsi="宋体" w:cs="宋体"/>
                <w:szCs w:val="21"/>
              </w:rPr>
              <w:t>套</w:t>
            </w:r>
          </w:p>
        </w:tc>
      </w:tr>
      <w:tr w14:paraId="3A8CE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3C79F396">
            <w:pPr>
              <w:jc w:val="center"/>
              <w:rPr>
                <w:rFonts w:hint="eastAsia" w:ascii="宋体" w:hAnsi="宋体" w:cs="宋体"/>
                <w:b/>
                <w:bCs/>
                <w:szCs w:val="21"/>
              </w:rPr>
            </w:pPr>
            <w:r>
              <w:rPr>
                <w:rFonts w:hint="eastAsia" w:ascii="宋体" w:hAnsi="宋体" w:cs="宋体"/>
                <w:szCs w:val="21"/>
              </w:rPr>
              <w:t>17</w:t>
            </w:r>
          </w:p>
        </w:tc>
        <w:tc>
          <w:tcPr>
            <w:tcW w:w="536" w:type="pct"/>
            <w:vAlign w:val="center"/>
          </w:tcPr>
          <w:p w14:paraId="2D828C6C">
            <w:pPr>
              <w:pStyle w:val="80"/>
              <w:jc w:val="center"/>
              <w:rPr>
                <w:rFonts w:hint="eastAsia" w:ascii="宋体" w:hAnsi="宋体" w:cs="宋体"/>
              </w:rPr>
            </w:pPr>
            <w:r>
              <w:rPr>
                <w:rFonts w:hint="eastAsia" w:ascii="宋体" w:hAnsi="宋体" w:cs="宋体"/>
              </w:rPr>
              <w:t>纯电动汽车电池及管理系统实训台</w:t>
            </w:r>
          </w:p>
        </w:tc>
        <w:tc>
          <w:tcPr>
            <w:tcW w:w="3571" w:type="pct"/>
            <w:vAlign w:val="center"/>
          </w:tcPr>
          <w:p w14:paraId="0451D74A">
            <w:pPr>
              <w:pStyle w:val="80"/>
              <w:ind w:left="105" w:leftChars="50"/>
              <w:jc w:val="left"/>
              <w:rPr>
                <w:rFonts w:hint="eastAsia" w:ascii="宋体" w:hAnsi="宋体" w:cs="宋体"/>
              </w:rPr>
            </w:pPr>
            <w:r>
              <w:rPr>
                <w:rFonts w:hint="eastAsia" w:ascii="宋体" w:hAnsi="宋体" w:cs="宋体"/>
              </w:rPr>
              <w:t>一、产品组成要求:</w:t>
            </w:r>
            <w:r>
              <w:rPr>
                <w:rFonts w:hint="eastAsia" w:ascii="宋体" w:hAnsi="宋体" w:cs="宋体"/>
              </w:rPr>
              <w:br w:type="textWrapping"/>
            </w:r>
            <w:r>
              <w:rPr>
                <w:rFonts w:hint="eastAsia" w:ascii="宋体" w:hAnsi="宋体" w:cs="宋体"/>
              </w:rPr>
              <w:t xml:space="preserve">1、检测控制面板、锂电池组，电池管理系统（包括主控模块、从控模块、采集线、维修开关等）、电源开关、交流充电枪、高压分配模组、电源指示灯，急停开关、电池组充电器，12V开关电源、国标充电口、铝型材台架等。  </w:t>
            </w:r>
            <w:r>
              <w:rPr>
                <w:rFonts w:hint="eastAsia" w:ascii="宋体" w:hAnsi="宋体" w:cs="宋体"/>
              </w:rPr>
              <w:br w:type="textWrapping"/>
            </w:r>
            <w:r>
              <w:rPr>
                <w:rFonts w:hint="eastAsia" w:ascii="宋体" w:hAnsi="宋体" w:cs="宋体"/>
              </w:rPr>
              <w:t>2、实训台配置外挂式可360度旋转支架的21寸多媒体一体机，显示终端装有BMS管理系统App软件，通过专用CAN卡与上位机软件通讯，上位机软件可动态监测每个单节电池电压、SOC动态估计电池组容量、动态监测电池组温度、动态显示所有电池组信息、按键实时处理、动态监测总回路电流、动态报警指示、充电实时控制以及CC值、绝缘电阻值等。</w:t>
            </w:r>
            <w:r>
              <w:rPr>
                <w:rFonts w:hint="eastAsia" w:ascii="宋体" w:hAnsi="宋体" w:cs="宋体"/>
              </w:rPr>
              <w:br w:type="textWrapping"/>
            </w:r>
            <w:r>
              <w:rPr>
                <w:rFonts w:hint="eastAsia" w:ascii="宋体" w:hAnsi="宋体" w:cs="宋体"/>
              </w:rPr>
              <w:t>二、产品规格要求:</w:t>
            </w:r>
            <w:r>
              <w:rPr>
                <w:rFonts w:hint="eastAsia" w:ascii="宋体" w:hAnsi="宋体" w:cs="宋体"/>
              </w:rPr>
              <w:br w:type="textWrapping"/>
            </w:r>
            <w:r>
              <w:rPr>
                <w:rFonts w:hint="eastAsia" w:ascii="宋体" w:hAnsi="宋体" w:cs="宋体"/>
              </w:rPr>
              <w:t>1、外形尺寸（长×宽×高)：≥1600*800*1800mm；</w:t>
            </w:r>
            <w:r>
              <w:rPr>
                <w:rFonts w:hint="eastAsia" w:ascii="宋体" w:hAnsi="宋体" w:cs="宋体"/>
              </w:rPr>
              <w:br w:type="textWrapping"/>
            </w:r>
            <w:r>
              <w:rPr>
                <w:rFonts w:hint="eastAsia" w:ascii="宋体" w:hAnsi="宋体" w:cs="宋体"/>
              </w:rPr>
              <w:t xml:space="preserve">2、系统控制单元采用CAN线通信控制； </w:t>
            </w:r>
            <w:r>
              <w:rPr>
                <w:rFonts w:hint="eastAsia" w:ascii="宋体" w:hAnsi="宋体" w:cs="宋体"/>
              </w:rPr>
              <w:br w:type="textWrapping"/>
            </w:r>
            <w:r>
              <w:rPr>
                <w:rFonts w:hint="eastAsia" w:ascii="宋体" w:hAnsi="宋体" w:cs="宋体"/>
              </w:rPr>
              <w:t>3、外接电源：交流220V±10% 50Hz(充电工况) 。</w:t>
            </w:r>
            <w:r>
              <w:rPr>
                <w:rFonts w:hint="eastAsia" w:ascii="宋体" w:hAnsi="宋体" w:cs="宋体"/>
              </w:rPr>
              <w:br w:type="textWrapping"/>
            </w:r>
            <w:r>
              <w:rPr>
                <w:rFonts w:hint="eastAsia" w:ascii="宋体" w:hAnsi="宋体" w:cs="宋体"/>
              </w:rPr>
              <w:t>三、产品功能要求:</w:t>
            </w:r>
            <w:r>
              <w:rPr>
                <w:rFonts w:hint="eastAsia" w:ascii="宋体" w:hAnsi="宋体" w:cs="宋体"/>
              </w:rPr>
              <w:br w:type="textWrapping"/>
            </w:r>
            <w:r>
              <w:rPr>
                <w:rFonts w:hint="eastAsia" w:ascii="宋体" w:hAnsi="宋体" w:cs="宋体"/>
              </w:rPr>
              <w:t xml:space="preserve">1、可直观对照纯电动汽车电池组管理系统结构示意图和实物，认识和分析纯电动汽车电池组管理系统的基本工作原理。 </w:t>
            </w:r>
            <w:r>
              <w:rPr>
                <w:rFonts w:hint="eastAsia" w:ascii="宋体" w:hAnsi="宋体" w:cs="宋体"/>
              </w:rPr>
              <w:br w:type="textWrapping"/>
            </w:r>
            <w:r>
              <w:rPr>
                <w:rFonts w:hint="eastAsia" w:ascii="宋体" w:hAnsi="宋体" w:cs="宋体"/>
              </w:rPr>
              <w:t>2、该设备采用纯电动汽车BMS(电池管理系统)系统实物为基础，预留有与上位机相连接的USB通讯线，通过专用CAN卡与上位机软件通讯，在显示终端App软件上可动态监测每个单节电池电压、SOC动态估计电池组容量、动态监测电池组温度、动态显示所有电池组信息、按键实时处理、动态监测总回路电流、动态报警指示、充电实时控制以及CC值、绝缘电阻值等。</w:t>
            </w:r>
            <w:r>
              <w:rPr>
                <w:rFonts w:hint="eastAsia" w:ascii="宋体" w:hAnsi="宋体" w:cs="宋体"/>
              </w:rPr>
              <w:br w:type="textWrapping"/>
            </w:r>
            <w:r>
              <w:rPr>
                <w:rFonts w:hint="eastAsia" w:ascii="宋体" w:hAnsi="宋体" w:cs="宋体"/>
              </w:rPr>
              <w:t>3、实验台装有PTC加热器装置，用于模拟电池组的放电负载。</w:t>
            </w:r>
            <w:r>
              <w:rPr>
                <w:rFonts w:hint="eastAsia" w:ascii="宋体" w:hAnsi="宋体" w:cs="宋体"/>
              </w:rPr>
              <w:br w:type="textWrapping"/>
            </w:r>
            <w:r>
              <w:rPr>
                <w:rFonts w:hint="eastAsia" w:ascii="宋体" w:hAnsi="宋体" w:cs="宋体"/>
              </w:rPr>
              <w:t>4、实训台面板采用UV喷绘彩色原理图，环保、无污染。其上安装有各电池组、接触器等多个测量端口，实训过程中可通过测量端口检测线路上的电压、电阻值等相关数据。</w:t>
            </w:r>
            <w:r>
              <w:rPr>
                <w:rFonts w:hint="eastAsia" w:ascii="宋体" w:hAnsi="宋体" w:cs="宋体"/>
              </w:rPr>
              <w:br w:type="textWrapping"/>
            </w:r>
            <w:r>
              <w:rPr>
                <w:rFonts w:hint="eastAsia" w:ascii="宋体" w:hAnsi="宋体" w:cs="宋体"/>
              </w:rPr>
              <w:t>5、车载充电机采用CAN总线通讯，与电池管理系统实时通讯，具有欠压保护、过载保护、过压保护、过温保护及自动充满跳闸保护等。</w:t>
            </w:r>
            <w:r>
              <w:rPr>
                <w:rFonts w:hint="eastAsia" w:ascii="宋体" w:hAnsi="宋体" w:cs="宋体"/>
              </w:rPr>
              <w:br w:type="textWrapping"/>
            </w:r>
            <w:r>
              <w:rPr>
                <w:rFonts w:hint="eastAsia" w:ascii="宋体" w:hAnsi="宋体" w:cs="宋体"/>
              </w:rPr>
              <w:t xml:space="preserve">6、实验台工作采用普通220V交流电源，经内部电路变压整流转换成12V直流电源，无需蓄电池，减少充电的麻烦，12V直流电源有防短路功能。 </w:t>
            </w:r>
            <w:r>
              <w:rPr>
                <w:rFonts w:hint="eastAsia" w:ascii="宋体" w:hAnsi="宋体" w:cs="宋体"/>
              </w:rPr>
              <w:br w:type="textWrapping"/>
            </w:r>
            <w:r>
              <w:rPr>
                <w:rFonts w:hint="eastAsia" w:ascii="宋体" w:hAnsi="宋体" w:cs="宋体"/>
              </w:rPr>
              <w:t>四、教学及实训项目:</w:t>
            </w:r>
            <w:r>
              <w:rPr>
                <w:rFonts w:hint="eastAsia" w:ascii="宋体" w:hAnsi="宋体" w:cs="宋体"/>
              </w:rPr>
              <w:br w:type="textWrapping"/>
            </w:r>
            <w:r>
              <w:rPr>
                <w:rFonts w:hint="eastAsia" w:ascii="宋体" w:hAnsi="宋体" w:cs="宋体"/>
              </w:rPr>
              <w:t xml:space="preserve">1、了解电池管理单元的结构和工作原理； </w:t>
            </w:r>
            <w:r>
              <w:rPr>
                <w:rFonts w:hint="eastAsia" w:ascii="宋体" w:hAnsi="宋体" w:cs="宋体"/>
              </w:rPr>
              <w:br w:type="textWrapping"/>
            </w:r>
            <w:r>
              <w:rPr>
                <w:rFonts w:hint="eastAsia" w:ascii="宋体" w:hAnsi="宋体" w:cs="宋体"/>
              </w:rPr>
              <w:t>2、掌握电池管理单元的检测方法；</w:t>
            </w:r>
            <w:r>
              <w:rPr>
                <w:rFonts w:hint="eastAsia" w:ascii="宋体" w:hAnsi="宋体" w:cs="宋体"/>
              </w:rPr>
              <w:br w:type="textWrapping"/>
            </w:r>
            <w:r>
              <w:rPr>
                <w:rFonts w:hint="eastAsia" w:ascii="宋体" w:hAnsi="宋体" w:cs="宋体"/>
              </w:rPr>
              <w:t>3、了解电池管理系统上下电等配电策略及诊断；</w:t>
            </w:r>
            <w:r>
              <w:rPr>
                <w:rFonts w:hint="eastAsia" w:ascii="宋体" w:hAnsi="宋体" w:cs="宋体"/>
              </w:rPr>
              <w:br w:type="textWrapping"/>
            </w:r>
            <w:r>
              <w:rPr>
                <w:rFonts w:hint="eastAsia" w:ascii="宋体" w:hAnsi="宋体" w:cs="宋体"/>
              </w:rPr>
              <w:t>4、了解车载充电器的工作过程</w:t>
            </w:r>
            <w:r>
              <w:rPr>
                <w:rFonts w:hint="eastAsia" w:ascii="宋体" w:hAnsi="宋体" w:cs="宋体"/>
              </w:rPr>
              <w:br w:type="textWrapping"/>
            </w:r>
            <w:r>
              <w:rPr>
                <w:rFonts w:hint="eastAsia" w:ascii="宋体" w:hAnsi="宋体" w:cs="宋体"/>
              </w:rPr>
              <w:t>5、了解电池包pack工艺标准并熟练掌握</w:t>
            </w:r>
            <w:r>
              <w:rPr>
                <w:rFonts w:hint="eastAsia" w:ascii="宋体" w:hAnsi="宋体" w:cs="宋体"/>
              </w:rPr>
              <w:br w:type="textWrapping"/>
            </w:r>
            <w:r>
              <w:rPr>
                <w:rFonts w:hint="eastAsia" w:ascii="宋体" w:hAnsi="宋体" w:cs="宋体"/>
              </w:rPr>
              <w:t xml:space="preserve">6、掌握电池包体总成的充放电台架操作技巧； </w:t>
            </w:r>
            <w:r>
              <w:rPr>
                <w:rFonts w:hint="eastAsia" w:ascii="宋体" w:hAnsi="宋体" w:cs="宋体"/>
              </w:rPr>
              <w:br w:type="textWrapping"/>
            </w:r>
            <w:r>
              <w:rPr>
                <w:rFonts w:hint="eastAsia" w:ascii="宋体" w:hAnsi="宋体" w:cs="宋体"/>
              </w:rPr>
              <w:t xml:space="preserve">7、掌握电池包体总成的维护注意事项； </w:t>
            </w:r>
            <w:r>
              <w:rPr>
                <w:rFonts w:hint="eastAsia" w:ascii="宋体" w:hAnsi="宋体" w:cs="宋体"/>
              </w:rPr>
              <w:br w:type="textWrapping"/>
            </w:r>
            <w:r>
              <w:rPr>
                <w:rFonts w:hint="eastAsia" w:ascii="宋体" w:hAnsi="宋体" w:cs="宋体"/>
              </w:rPr>
              <w:t>8、握纯电动汽车电池组故障排除方法。</w:t>
            </w:r>
          </w:p>
        </w:tc>
        <w:tc>
          <w:tcPr>
            <w:tcW w:w="357" w:type="pct"/>
            <w:vAlign w:val="center"/>
          </w:tcPr>
          <w:p w14:paraId="52BCF35F">
            <w:pPr>
              <w:jc w:val="center"/>
              <w:rPr>
                <w:rFonts w:hint="eastAsia" w:ascii="宋体" w:hAnsi="宋体" w:cs="宋体"/>
                <w:szCs w:val="21"/>
              </w:rPr>
            </w:pPr>
            <w:r>
              <w:rPr>
                <w:rFonts w:hint="eastAsia" w:ascii="宋体" w:hAnsi="宋体" w:cs="宋体"/>
                <w:szCs w:val="21"/>
              </w:rPr>
              <w:t>1</w:t>
            </w:r>
          </w:p>
        </w:tc>
        <w:tc>
          <w:tcPr>
            <w:tcW w:w="341" w:type="pct"/>
            <w:vAlign w:val="center"/>
          </w:tcPr>
          <w:p w14:paraId="35D153E9">
            <w:pPr>
              <w:jc w:val="center"/>
              <w:rPr>
                <w:rFonts w:hint="eastAsia" w:ascii="宋体" w:hAnsi="宋体" w:cs="宋体"/>
                <w:szCs w:val="21"/>
              </w:rPr>
            </w:pPr>
            <w:r>
              <w:rPr>
                <w:rFonts w:hint="eastAsia" w:ascii="宋体" w:hAnsi="宋体" w:cs="宋体"/>
                <w:szCs w:val="21"/>
              </w:rPr>
              <w:t>套</w:t>
            </w:r>
          </w:p>
        </w:tc>
      </w:tr>
      <w:tr w14:paraId="737A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4AA02C50">
            <w:pPr>
              <w:jc w:val="center"/>
              <w:rPr>
                <w:rFonts w:hint="eastAsia" w:ascii="宋体" w:hAnsi="宋体" w:cs="宋体"/>
                <w:b/>
                <w:bCs/>
                <w:szCs w:val="21"/>
              </w:rPr>
            </w:pPr>
            <w:r>
              <w:rPr>
                <w:rFonts w:hint="eastAsia" w:ascii="宋体" w:hAnsi="宋体" w:cs="宋体"/>
                <w:szCs w:val="21"/>
              </w:rPr>
              <w:t>18</w:t>
            </w:r>
          </w:p>
        </w:tc>
        <w:tc>
          <w:tcPr>
            <w:tcW w:w="536" w:type="pct"/>
            <w:vAlign w:val="center"/>
          </w:tcPr>
          <w:p w14:paraId="7DD0E4CE">
            <w:pPr>
              <w:pStyle w:val="42"/>
              <w:ind w:firstLine="0" w:firstLineChars="0"/>
              <w:jc w:val="center"/>
              <w:rPr>
                <w:rFonts w:hint="eastAsia" w:ascii="宋体" w:hAnsi="宋体" w:cs="宋体"/>
                <w:sz w:val="21"/>
                <w:szCs w:val="21"/>
              </w:rPr>
            </w:pPr>
            <w:r>
              <w:rPr>
                <w:rFonts w:hint="eastAsia" w:ascii="宋体" w:hAnsi="宋体" w:cs="宋体"/>
                <w:sz w:val="21"/>
                <w:szCs w:val="21"/>
              </w:rPr>
              <w:t>纯电动汽车制动能量回收系统示教板</w:t>
            </w:r>
          </w:p>
        </w:tc>
        <w:tc>
          <w:tcPr>
            <w:tcW w:w="3571" w:type="pct"/>
            <w:vAlign w:val="center"/>
          </w:tcPr>
          <w:p w14:paraId="51E6BAAE">
            <w:pPr>
              <w:pStyle w:val="42"/>
              <w:ind w:left="105" w:leftChars="50" w:firstLine="0" w:firstLineChars="0"/>
              <w:jc w:val="left"/>
              <w:rPr>
                <w:rFonts w:hint="eastAsia" w:ascii="宋体" w:hAnsi="宋体" w:cs="宋体"/>
                <w:sz w:val="21"/>
                <w:szCs w:val="21"/>
              </w:rPr>
            </w:pPr>
            <w:r>
              <w:rPr>
                <w:rFonts w:hint="eastAsia" w:ascii="宋体" w:hAnsi="宋体" w:cs="宋体"/>
                <w:sz w:val="21"/>
                <w:szCs w:val="21"/>
              </w:rPr>
              <w:t>一、产品组成要求：</w:t>
            </w:r>
            <w:r>
              <w:rPr>
                <w:rFonts w:hint="eastAsia" w:ascii="宋体" w:hAnsi="宋体" w:cs="宋体"/>
                <w:sz w:val="21"/>
                <w:szCs w:val="21"/>
              </w:rPr>
              <w:br w:type="textWrapping"/>
            </w:r>
            <w:r>
              <w:rPr>
                <w:rFonts w:hint="eastAsia" w:ascii="宋体" w:hAnsi="宋体" w:cs="宋体"/>
                <w:sz w:val="21"/>
                <w:szCs w:val="21"/>
              </w:rPr>
              <w:t>1、点火开关、油门踏板、挡位开关、制动开关、多功能液晶显示屏、电机、电机控制器、发光二极管动态指示、智能故障设置系统。</w:t>
            </w:r>
            <w:r>
              <w:rPr>
                <w:rFonts w:hint="eastAsia" w:ascii="宋体" w:hAnsi="宋体" w:cs="宋体"/>
                <w:sz w:val="21"/>
                <w:szCs w:val="21"/>
              </w:rPr>
              <w:br w:type="textWrapping"/>
            </w:r>
            <w:r>
              <w:rPr>
                <w:rFonts w:hint="eastAsia" w:ascii="宋体" w:hAnsi="宋体" w:cs="宋体"/>
                <w:sz w:val="21"/>
                <w:szCs w:val="21"/>
              </w:rPr>
              <w:t>二、产品规格要求：</w:t>
            </w:r>
            <w:r>
              <w:rPr>
                <w:rFonts w:hint="eastAsia" w:ascii="宋体" w:hAnsi="宋体" w:cs="宋体"/>
                <w:sz w:val="21"/>
                <w:szCs w:val="21"/>
              </w:rPr>
              <w:br w:type="textWrapping"/>
            </w:r>
            <w:r>
              <w:rPr>
                <w:rFonts w:hint="eastAsia" w:ascii="宋体" w:hAnsi="宋体" w:cs="宋体"/>
                <w:sz w:val="21"/>
                <w:szCs w:val="21"/>
              </w:rPr>
              <w:t>1、工作电压：直流12V</w:t>
            </w:r>
            <w:r>
              <w:rPr>
                <w:rFonts w:hint="eastAsia" w:ascii="宋体" w:hAnsi="宋体" w:cs="宋体"/>
                <w:sz w:val="21"/>
                <w:szCs w:val="21"/>
              </w:rPr>
              <w:br w:type="textWrapping"/>
            </w:r>
            <w:r>
              <w:rPr>
                <w:rFonts w:hint="eastAsia" w:ascii="宋体" w:hAnsi="宋体" w:cs="宋体"/>
                <w:sz w:val="21"/>
                <w:szCs w:val="21"/>
              </w:rPr>
              <w:t>2、工作温度：-40℃～+50℃</w:t>
            </w:r>
            <w:r>
              <w:rPr>
                <w:rFonts w:hint="eastAsia" w:ascii="宋体" w:hAnsi="宋体" w:cs="宋体"/>
                <w:sz w:val="21"/>
                <w:szCs w:val="21"/>
              </w:rPr>
              <w:br w:type="textWrapping"/>
            </w:r>
            <w:r>
              <w:rPr>
                <w:rFonts w:hint="eastAsia" w:ascii="宋体" w:hAnsi="宋体" w:cs="宋体"/>
                <w:sz w:val="21"/>
                <w:szCs w:val="21"/>
              </w:rPr>
              <w:t>3、外形尺寸(长*宽*高) ：≥1600*800*1800mm 。</w:t>
            </w:r>
            <w:r>
              <w:rPr>
                <w:rFonts w:hint="eastAsia" w:ascii="宋体" w:hAnsi="宋体" w:cs="宋体"/>
                <w:sz w:val="21"/>
                <w:szCs w:val="21"/>
              </w:rPr>
              <w:br w:type="textWrapping"/>
            </w:r>
            <w:r>
              <w:rPr>
                <w:rFonts w:hint="eastAsia" w:ascii="宋体" w:hAnsi="宋体" w:cs="宋体"/>
                <w:sz w:val="21"/>
                <w:szCs w:val="21"/>
              </w:rPr>
              <w:t>三、产品功能要求：</w:t>
            </w:r>
            <w:r>
              <w:rPr>
                <w:rFonts w:hint="eastAsia" w:ascii="宋体" w:hAnsi="宋体" w:cs="宋体"/>
                <w:sz w:val="21"/>
                <w:szCs w:val="21"/>
              </w:rPr>
              <w:br w:type="textWrapping"/>
            </w:r>
            <w:r>
              <w:rPr>
                <w:rFonts w:hint="eastAsia" w:ascii="宋体" w:hAnsi="宋体" w:cs="宋体"/>
                <w:sz w:val="21"/>
                <w:szCs w:val="21"/>
              </w:rPr>
              <w:t>1、该设备完整展示了纯电动汽车驱动能量输出与制动能量回收的工作基本原理，可动态模拟纯电动汽车驱动能量输出与制动能量回收在不同工况下的运行状态。（投标文件中需提供动态模拟驱动能量输出与制动能量回收的功能演示截图）</w:t>
            </w:r>
            <w:r>
              <w:rPr>
                <w:rFonts w:hint="eastAsia" w:ascii="宋体" w:hAnsi="宋体" w:cs="宋体"/>
                <w:sz w:val="21"/>
                <w:szCs w:val="21"/>
              </w:rPr>
              <w:br w:type="textWrapping"/>
            </w:r>
            <w:r>
              <w:rPr>
                <w:rFonts w:hint="eastAsia" w:ascii="宋体" w:hAnsi="宋体" w:cs="宋体"/>
                <w:sz w:val="21"/>
                <w:szCs w:val="21"/>
              </w:rPr>
              <w:t>2、 通过发光二极管指示电机驱动能量输出电流的流向，了解电机控制器驱动控制原理。</w:t>
            </w:r>
            <w:r>
              <w:rPr>
                <w:rFonts w:hint="eastAsia" w:ascii="宋体" w:hAnsi="宋体" w:cs="宋体"/>
                <w:sz w:val="21"/>
                <w:szCs w:val="21"/>
              </w:rPr>
              <w:br w:type="textWrapping"/>
            </w:r>
            <w:r>
              <w:rPr>
                <w:rFonts w:hint="eastAsia" w:ascii="宋体" w:hAnsi="宋体" w:cs="宋体"/>
                <w:sz w:val="21"/>
                <w:szCs w:val="21"/>
              </w:rPr>
              <w:t>3、 通过发光二极管指示电机制动能量回收电流的流向，了解电机控制器能量回收的控制原理。</w:t>
            </w:r>
            <w:r>
              <w:rPr>
                <w:rFonts w:hint="eastAsia" w:ascii="宋体" w:hAnsi="宋体" w:cs="宋体"/>
                <w:sz w:val="21"/>
                <w:szCs w:val="21"/>
              </w:rPr>
              <w:br w:type="textWrapping"/>
            </w:r>
            <w:r>
              <w:rPr>
                <w:rFonts w:hint="eastAsia" w:ascii="宋体" w:hAnsi="宋体" w:cs="宋体"/>
                <w:sz w:val="21"/>
                <w:szCs w:val="21"/>
              </w:rPr>
              <w:t>4、 发光二极管指示系统与电机控制器联动完整展示，电动车驱动和制动时能量的转换。</w:t>
            </w:r>
            <w:r>
              <w:rPr>
                <w:rFonts w:hint="eastAsia" w:ascii="宋体" w:hAnsi="宋体" w:cs="宋体"/>
                <w:sz w:val="21"/>
                <w:szCs w:val="21"/>
              </w:rPr>
              <w:br w:type="textWrapping"/>
            </w:r>
            <w:r>
              <w:rPr>
                <w:rFonts w:hint="eastAsia" w:ascii="宋体" w:hAnsi="宋体" w:cs="宋体"/>
                <w:sz w:val="21"/>
                <w:szCs w:val="21"/>
              </w:rPr>
              <w:t>5、 学员可通过台架面板上的工作原理图直观对照纯电动汽车驱动系统原理图和实物，认识和分析纯电动汽车驱动能量输出、制动能量回收的工作原理。</w:t>
            </w:r>
            <w:r>
              <w:rPr>
                <w:rFonts w:hint="eastAsia" w:ascii="宋体" w:hAnsi="宋体" w:cs="宋体"/>
                <w:sz w:val="21"/>
                <w:szCs w:val="21"/>
              </w:rPr>
              <w:br w:type="textWrapping"/>
            </w:r>
            <w:r>
              <w:rPr>
                <w:rFonts w:hint="eastAsia" w:ascii="宋体" w:hAnsi="宋体" w:cs="宋体"/>
                <w:sz w:val="21"/>
                <w:szCs w:val="21"/>
              </w:rPr>
              <w:t>6、通过油门踏板可以控制电机运转速度，电动机输出端配有惯性轮用于制动能量回收工况。</w:t>
            </w:r>
            <w:r>
              <w:rPr>
                <w:rFonts w:hint="eastAsia" w:ascii="宋体" w:hAnsi="宋体" w:cs="宋体"/>
                <w:sz w:val="21"/>
                <w:szCs w:val="21"/>
              </w:rPr>
              <w:br w:type="textWrapping"/>
            </w:r>
            <w:r>
              <w:rPr>
                <w:rFonts w:hint="eastAsia" w:ascii="宋体" w:hAnsi="宋体" w:cs="宋体"/>
                <w:sz w:val="21"/>
                <w:szCs w:val="21"/>
              </w:rPr>
              <w:t>7、示教板的电机控制器原理图上安装检测端子，可以使用检测仪器测量出电机控制器各信号端子的信号值。</w:t>
            </w:r>
            <w:r>
              <w:rPr>
                <w:rFonts w:hint="eastAsia" w:ascii="宋体" w:hAnsi="宋体" w:cs="宋体"/>
                <w:sz w:val="21"/>
                <w:szCs w:val="21"/>
              </w:rPr>
              <w:br w:type="textWrapping"/>
            </w:r>
            <w:r>
              <w:rPr>
                <w:rFonts w:hint="eastAsia" w:ascii="宋体" w:hAnsi="宋体" w:cs="宋体"/>
                <w:sz w:val="21"/>
                <w:szCs w:val="21"/>
              </w:rPr>
              <w:t>四、教学及实训项目：</w:t>
            </w:r>
            <w:r>
              <w:rPr>
                <w:rFonts w:hint="eastAsia" w:ascii="宋体" w:hAnsi="宋体" w:cs="宋体"/>
                <w:sz w:val="21"/>
                <w:szCs w:val="21"/>
              </w:rPr>
              <w:br w:type="textWrapping"/>
            </w:r>
            <w:r>
              <w:rPr>
                <w:rFonts w:hint="eastAsia" w:ascii="宋体" w:hAnsi="宋体" w:cs="宋体"/>
                <w:sz w:val="21"/>
                <w:szCs w:val="21"/>
              </w:rPr>
              <w:t>1、纯电动汽车驱动系统组成结构的认知</w:t>
            </w:r>
            <w:r>
              <w:rPr>
                <w:rFonts w:hint="eastAsia" w:ascii="宋体" w:hAnsi="宋体" w:cs="宋体"/>
                <w:sz w:val="21"/>
                <w:szCs w:val="21"/>
              </w:rPr>
              <w:br w:type="textWrapping"/>
            </w:r>
            <w:r>
              <w:rPr>
                <w:rFonts w:hint="eastAsia" w:ascii="宋体" w:hAnsi="宋体" w:cs="宋体"/>
                <w:sz w:val="21"/>
                <w:szCs w:val="21"/>
              </w:rPr>
              <w:t>2、永磁同步电机驱动能量输出工作原理的认知</w:t>
            </w:r>
            <w:r>
              <w:rPr>
                <w:rFonts w:hint="eastAsia" w:ascii="宋体" w:hAnsi="宋体" w:cs="宋体"/>
                <w:sz w:val="21"/>
                <w:szCs w:val="21"/>
              </w:rPr>
              <w:br w:type="textWrapping"/>
            </w:r>
            <w:r>
              <w:rPr>
                <w:rFonts w:hint="eastAsia" w:ascii="宋体" w:hAnsi="宋体" w:cs="宋体"/>
                <w:sz w:val="21"/>
                <w:szCs w:val="21"/>
              </w:rPr>
              <w:t>3、永磁同步电机制动能量回收工作原理的认知</w:t>
            </w:r>
            <w:r>
              <w:rPr>
                <w:rFonts w:hint="eastAsia" w:ascii="宋体" w:hAnsi="宋体" w:cs="宋体"/>
                <w:sz w:val="21"/>
                <w:szCs w:val="21"/>
              </w:rPr>
              <w:br w:type="textWrapping"/>
            </w:r>
            <w:r>
              <w:rPr>
                <w:rFonts w:hint="eastAsia" w:ascii="宋体" w:hAnsi="宋体" w:cs="宋体"/>
                <w:sz w:val="21"/>
                <w:szCs w:val="21"/>
              </w:rPr>
              <w:t>4、永磁同步电机能够实现能量回收的特性</w:t>
            </w:r>
            <w:r>
              <w:rPr>
                <w:rFonts w:hint="eastAsia" w:ascii="宋体" w:hAnsi="宋体" w:cs="宋体"/>
                <w:sz w:val="21"/>
                <w:szCs w:val="21"/>
              </w:rPr>
              <w:br w:type="textWrapping"/>
            </w:r>
            <w:r>
              <w:rPr>
                <w:rFonts w:hint="eastAsia" w:ascii="宋体" w:hAnsi="宋体" w:cs="宋体"/>
                <w:sz w:val="21"/>
                <w:szCs w:val="21"/>
              </w:rPr>
              <w:t>5、制动能量回收在纯电动汽车上的特性认识</w:t>
            </w:r>
          </w:p>
        </w:tc>
        <w:tc>
          <w:tcPr>
            <w:tcW w:w="357" w:type="pct"/>
            <w:vAlign w:val="center"/>
          </w:tcPr>
          <w:p w14:paraId="1B948B31">
            <w:pPr>
              <w:jc w:val="center"/>
              <w:rPr>
                <w:rFonts w:hint="eastAsia" w:ascii="宋体" w:hAnsi="宋体" w:cs="宋体"/>
                <w:szCs w:val="21"/>
              </w:rPr>
            </w:pPr>
            <w:r>
              <w:rPr>
                <w:rFonts w:hint="eastAsia" w:ascii="宋体" w:hAnsi="宋体" w:cs="宋体"/>
                <w:szCs w:val="21"/>
              </w:rPr>
              <w:t>1</w:t>
            </w:r>
          </w:p>
        </w:tc>
        <w:tc>
          <w:tcPr>
            <w:tcW w:w="341" w:type="pct"/>
            <w:vAlign w:val="center"/>
          </w:tcPr>
          <w:p w14:paraId="2CAC9272">
            <w:pPr>
              <w:jc w:val="center"/>
              <w:rPr>
                <w:rFonts w:hint="eastAsia" w:ascii="宋体" w:hAnsi="宋体" w:cs="宋体"/>
                <w:szCs w:val="21"/>
              </w:rPr>
            </w:pPr>
            <w:r>
              <w:rPr>
                <w:rFonts w:hint="eastAsia" w:ascii="宋体" w:hAnsi="宋体" w:cs="宋体"/>
                <w:szCs w:val="21"/>
              </w:rPr>
              <w:t>套</w:t>
            </w:r>
          </w:p>
        </w:tc>
      </w:tr>
      <w:tr w14:paraId="274E0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4D579FB4">
            <w:pPr>
              <w:jc w:val="center"/>
              <w:rPr>
                <w:rFonts w:hint="eastAsia" w:ascii="宋体" w:hAnsi="宋体" w:cs="宋体"/>
                <w:b/>
                <w:bCs/>
                <w:szCs w:val="21"/>
              </w:rPr>
            </w:pPr>
            <w:r>
              <w:rPr>
                <w:rFonts w:hint="eastAsia" w:ascii="宋体" w:hAnsi="宋体" w:cs="宋体"/>
                <w:szCs w:val="21"/>
              </w:rPr>
              <w:t>19</w:t>
            </w:r>
          </w:p>
        </w:tc>
        <w:tc>
          <w:tcPr>
            <w:tcW w:w="536" w:type="pct"/>
            <w:vAlign w:val="center"/>
          </w:tcPr>
          <w:p w14:paraId="35968D3D">
            <w:pPr>
              <w:pStyle w:val="80"/>
              <w:jc w:val="center"/>
              <w:rPr>
                <w:rFonts w:hint="eastAsia" w:ascii="宋体" w:hAnsi="宋体" w:cs="宋体"/>
              </w:rPr>
            </w:pPr>
            <w:r>
              <w:rPr>
                <w:rFonts w:hint="eastAsia" w:ascii="宋体" w:hAnsi="宋体" w:cs="宋体"/>
              </w:rPr>
              <w:t>纯电动汽车能量管理系统示教板</w:t>
            </w:r>
          </w:p>
        </w:tc>
        <w:tc>
          <w:tcPr>
            <w:tcW w:w="3571" w:type="pct"/>
            <w:vAlign w:val="center"/>
          </w:tcPr>
          <w:p w14:paraId="6BB5369F">
            <w:pPr>
              <w:pStyle w:val="80"/>
              <w:ind w:left="105" w:leftChars="50"/>
              <w:jc w:val="left"/>
              <w:rPr>
                <w:rFonts w:hint="eastAsia" w:ascii="宋体" w:hAnsi="宋体" w:cs="宋体"/>
              </w:rPr>
            </w:pPr>
            <w:r>
              <w:rPr>
                <w:rFonts w:hint="eastAsia" w:ascii="宋体" w:hAnsi="宋体" w:cs="宋体"/>
              </w:rPr>
              <w:t>一、产品组成要求：</w:t>
            </w:r>
            <w:r>
              <w:rPr>
                <w:rFonts w:hint="eastAsia" w:ascii="宋体" w:hAnsi="宋体" w:cs="宋体"/>
              </w:rPr>
              <w:br w:type="textWrapping"/>
            </w:r>
            <w:r>
              <w:rPr>
                <w:rFonts w:hint="eastAsia" w:ascii="宋体" w:hAnsi="宋体" w:cs="宋体"/>
              </w:rPr>
              <w:t>1、点火开关、工况开关、油门踏板、挡位开关、制动开关、数字转速表、电流指示表等。</w:t>
            </w:r>
            <w:r>
              <w:rPr>
                <w:rFonts w:hint="eastAsia" w:ascii="宋体" w:hAnsi="宋体" w:cs="宋体"/>
              </w:rPr>
              <w:br w:type="textWrapping"/>
            </w:r>
            <w:r>
              <w:rPr>
                <w:rFonts w:hint="eastAsia" w:ascii="宋体" w:hAnsi="宋体" w:cs="宋体"/>
              </w:rPr>
              <w:t>二、产品规格要求：</w:t>
            </w:r>
            <w:r>
              <w:rPr>
                <w:rFonts w:hint="eastAsia" w:ascii="宋体" w:hAnsi="宋体" w:cs="宋体"/>
              </w:rPr>
              <w:br w:type="textWrapping"/>
            </w:r>
            <w:r>
              <w:rPr>
                <w:rFonts w:hint="eastAsia" w:ascii="宋体" w:hAnsi="宋体" w:cs="宋体"/>
              </w:rPr>
              <w:t>1、 外接电源：交流 220V±10% 50Hz</w:t>
            </w:r>
            <w:r>
              <w:rPr>
                <w:rFonts w:hint="eastAsia" w:ascii="宋体" w:hAnsi="宋体" w:cs="宋体"/>
              </w:rPr>
              <w:br w:type="textWrapping"/>
            </w:r>
            <w:r>
              <w:rPr>
                <w:rFonts w:hint="eastAsia" w:ascii="宋体" w:hAnsi="宋体" w:cs="宋体"/>
              </w:rPr>
              <w:t>2、 工作电压：直流 12V</w:t>
            </w:r>
            <w:r>
              <w:rPr>
                <w:rFonts w:hint="eastAsia" w:ascii="宋体" w:hAnsi="宋体" w:cs="宋体"/>
              </w:rPr>
              <w:br w:type="textWrapping"/>
            </w:r>
            <w:r>
              <w:rPr>
                <w:rFonts w:hint="eastAsia" w:ascii="宋体" w:hAnsi="宋体" w:cs="宋体"/>
              </w:rPr>
              <w:t>3、 工作温度：-40℃～+50℃</w:t>
            </w:r>
            <w:r>
              <w:rPr>
                <w:rFonts w:hint="eastAsia" w:ascii="宋体" w:hAnsi="宋体" w:cs="宋体"/>
              </w:rPr>
              <w:br w:type="textWrapping"/>
            </w:r>
            <w:r>
              <w:rPr>
                <w:rFonts w:hint="eastAsia" w:ascii="宋体" w:hAnsi="宋体" w:cs="宋体"/>
              </w:rPr>
              <w:t>4、 外形尺寸(长×宽×高)：≥1600×700×1700mm</w:t>
            </w:r>
            <w:r>
              <w:rPr>
                <w:rFonts w:hint="eastAsia" w:ascii="宋体" w:hAnsi="宋体" w:cs="宋体"/>
              </w:rPr>
              <w:br w:type="textWrapping"/>
            </w:r>
            <w:r>
              <w:rPr>
                <w:rFonts w:hint="eastAsia" w:ascii="宋体" w:hAnsi="宋体" w:cs="宋体"/>
              </w:rPr>
              <w:t>三、产品功能要求：</w:t>
            </w:r>
            <w:r>
              <w:rPr>
                <w:rFonts w:hint="eastAsia" w:ascii="宋体" w:hAnsi="宋体" w:cs="宋体"/>
              </w:rPr>
              <w:br w:type="textWrapping"/>
            </w:r>
            <w:r>
              <w:rPr>
                <w:rFonts w:hint="eastAsia" w:ascii="宋体" w:hAnsi="宋体" w:cs="宋体"/>
              </w:rPr>
              <w:t>1、该设备完整展示了纯电动汽车能量管理系统，可以动态模拟纯电动汽车的启动、低速行驶、一般行驶、全速行驶、减速行驶和停车六种工况下的能量流动方向以及电动机的运行状态。</w:t>
            </w:r>
            <w:r>
              <w:rPr>
                <w:rFonts w:hint="eastAsia" w:ascii="宋体" w:hAnsi="宋体" w:cs="宋体"/>
              </w:rPr>
              <w:br w:type="textWrapping"/>
            </w:r>
            <w:r>
              <w:rPr>
                <w:rFonts w:hint="eastAsia" w:ascii="宋体" w:hAnsi="宋体" w:cs="宋体"/>
              </w:rPr>
              <w:t>2、示教板面板上安装有点火开关、工况开关、油门踏板、挡位开关、制动开关、数字转速表、电流指示表等，并辅以发光二极管进行系统流向的动态指示，还设有一台模拟电机用来演示电动机的工作状态。</w:t>
            </w:r>
            <w:r>
              <w:rPr>
                <w:rFonts w:hint="eastAsia" w:ascii="宋体" w:hAnsi="宋体" w:cs="宋体"/>
              </w:rPr>
              <w:br w:type="textWrapping"/>
            </w:r>
            <w:r>
              <w:rPr>
                <w:rFonts w:hint="eastAsia" w:ascii="宋体" w:hAnsi="宋体" w:cs="宋体"/>
              </w:rPr>
              <w:t>3、示教板工作采用普通 220V 交流电源，经内部电路变压整流转换成 12V直流电源，无需蓄电池，减少充电的麻烦，12V直流电源有防短路功能。</w:t>
            </w:r>
            <w:r>
              <w:rPr>
                <w:rFonts w:hint="eastAsia" w:ascii="宋体" w:hAnsi="宋体" w:cs="宋体"/>
              </w:rPr>
              <w:br w:type="textWrapping"/>
            </w:r>
            <w:r>
              <w:rPr>
                <w:rFonts w:hint="eastAsia" w:ascii="宋体" w:hAnsi="宋体" w:cs="宋体"/>
              </w:rPr>
              <w:t>四、教学及实训项目</w:t>
            </w:r>
            <w:r>
              <w:rPr>
                <w:rFonts w:hint="eastAsia" w:ascii="宋体" w:hAnsi="宋体" w:cs="宋体"/>
              </w:rPr>
              <w:br w:type="textWrapping"/>
            </w:r>
            <w:r>
              <w:rPr>
                <w:rFonts w:hint="eastAsia" w:ascii="宋体" w:hAnsi="宋体" w:cs="宋体"/>
              </w:rPr>
              <w:t>1、 纯电动汽车能量管理示教系统原件认识</w:t>
            </w:r>
            <w:r>
              <w:rPr>
                <w:rFonts w:hint="eastAsia" w:ascii="宋体" w:hAnsi="宋体" w:cs="宋体"/>
              </w:rPr>
              <w:br w:type="textWrapping"/>
            </w:r>
            <w:r>
              <w:rPr>
                <w:rFonts w:hint="eastAsia" w:ascii="宋体" w:hAnsi="宋体" w:cs="宋体"/>
              </w:rPr>
              <w:t>2、 纯电动汽车能量管理示教系统工作原理</w:t>
            </w:r>
          </w:p>
        </w:tc>
        <w:tc>
          <w:tcPr>
            <w:tcW w:w="357" w:type="pct"/>
            <w:vAlign w:val="center"/>
          </w:tcPr>
          <w:p w14:paraId="21FD6D52">
            <w:pPr>
              <w:jc w:val="center"/>
              <w:rPr>
                <w:rFonts w:hint="eastAsia" w:ascii="宋体" w:hAnsi="宋体" w:cs="宋体"/>
                <w:szCs w:val="21"/>
              </w:rPr>
            </w:pPr>
            <w:r>
              <w:rPr>
                <w:rFonts w:hint="eastAsia" w:ascii="宋体" w:hAnsi="宋体" w:cs="宋体"/>
                <w:szCs w:val="21"/>
              </w:rPr>
              <w:t>1</w:t>
            </w:r>
          </w:p>
        </w:tc>
        <w:tc>
          <w:tcPr>
            <w:tcW w:w="341" w:type="pct"/>
            <w:vAlign w:val="center"/>
          </w:tcPr>
          <w:p w14:paraId="1257AA80">
            <w:pPr>
              <w:jc w:val="center"/>
              <w:rPr>
                <w:rFonts w:hint="eastAsia" w:ascii="宋体" w:hAnsi="宋体" w:cs="宋体"/>
                <w:szCs w:val="21"/>
              </w:rPr>
            </w:pPr>
          </w:p>
          <w:p w14:paraId="48349D75">
            <w:pPr>
              <w:jc w:val="center"/>
              <w:rPr>
                <w:rFonts w:hint="eastAsia" w:ascii="宋体" w:hAnsi="宋体" w:cs="宋体"/>
                <w:szCs w:val="21"/>
              </w:rPr>
            </w:pPr>
          </w:p>
          <w:p w14:paraId="25896ABF">
            <w:pPr>
              <w:jc w:val="center"/>
              <w:rPr>
                <w:rFonts w:hint="eastAsia" w:ascii="宋体" w:hAnsi="宋体" w:cs="宋体"/>
                <w:szCs w:val="21"/>
              </w:rPr>
            </w:pPr>
          </w:p>
          <w:p w14:paraId="23D0E1AD">
            <w:pPr>
              <w:jc w:val="center"/>
              <w:rPr>
                <w:rFonts w:hint="eastAsia" w:ascii="宋体" w:hAnsi="宋体" w:cs="宋体"/>
                <w:szCs w:val="21"/>
              </w:rPr>
            </w:pPr>
          </w:p>
          <w:p w14:paraId="1F6E7DD8">
            <w:pPr>
              <w:jc w:val="center"/>
              <w:rPr>
                <w:rFonts w:hint="eastAsia" w:ascii="宋体" w:hAnsi="宋体" w:cs="宋体"/>
                <w:szCs w:val="21"/>
              </w:rPr>
            </w:pPr>
          </w:p>
          <w:p w14:paraId="6CDE92B2">
            <w:pPr>
              <w:jc w:val="center"/>
              <w:rPr>
                <w:rFonts w:hint="eastAsia" w:ascii="宋体" w:hAnsi="宋体" w:cs="宋体"/>
                <w:szCs w:val="21"/>
              </w:rPr>
            </w:pPr>
          </w:p>
          <w:p w14:paraId="31AE9E97">
            <w:pPr>
              <w:jc w:val="center"/>
              <w:rPr>
                <w:rFonts w:hint="eastAsia" w:ascii="宋体" w:hAnsi="宋体" w:cs="宋体"/>
                <w:szCs w:val="21"/>
              </w:rPr>
            </w:pPr>
          </w:p>
          <w:p w14:paraId="1306DE4D">
            <w:pPr>
              <w:jc w:val="center"/>
              <w:rPr>
                <w:rFonts w:hint="eastAsia" w:ascii="宋体" w:hAnsi="宋体" w:cs="宋体"/>
                <w:szCs w:val="21"/>
              </w:rPr>
            </w:pPr>
          </w:p>
          <w:p w14:paraId="098AE27A">
            <w:pPr>
              <w:jc w:val="center"/>
              <w:rPr>
                <w:rFonts w:hint="eastAsia" w:ascii="宋体" w:hAnsi="宋体" w:cs="宋体"/>
                <w:szCs w:val="21"/>
              </w:rPr>
            </w:pPr>
          </w:p>
          <w:p w14:paraId="301F2622">
            <w:pPr>
              <w:jc w:val="center"/>
              <w:rPr>
                <w:rFonts w:hint="eastAsia" w:ascii="宋体" w:hAnsi="宋体" w:cs="宋体"/>
                <w:szCs w:val="21"/>
              </w:rPr>
            </w:pPr>
          </w:p>
          <w:p w14:paraId="3606A897">
            <w:pPr>
              <w:jc w:val="center"/>
              <w:rPr>
                <w:rFonts w:hint="eastAsia" w:ascii="宋体" w:hAnsi="宋体" w:cs="宋体"/>
                <w:szCs w:val="21"/>
              </w:rPr>
            </w:pPr>
            <w:r>
              <w:rPr>
                <w:rFonts w:hint="eastAsia" w:ascii="宋体" w:hAnsi="宋体" w:cs="宋体"/>
                <w:szCs w:val="21"/>
              </w:rPr>
              <w:t>套</w:t>
            </w:r>
          </w:p>
          <w:p w14:paraId="387E7236">
            <w:pPr>
              <w:jc w:val="center"/>
              <w:rPr>
                <w:rFonts w:hint="eastAsia" w:ascii="宋体" w:hAnsi="宋体" w:cs="宋体"/>
                <w:szCs w:val="21"/>
              </w:rPr>
            </w:pPr>
          </w:p>
          <w:p w14:paraId="65F054C9">
            <w:pPr>
              <w:jc w:val="center"/>
              <w:rPr>
                <w:rFonts w:hint="eastAsia" w:ascii="宋体" w:hAnsi="宋体" w:cs="宋体"/>
                <w:szCs w:val="21"/>
              </w:rPr>
            </w:pPr>
          </w:p>
          <w:p w14:paraId="4FF194AF">
            <w:pPr>
              <w:jc w:val="center"/>
              <w:rPr>
                <w:rFonts w:hint="eastAsia" w:ascii="宋体" w:hAnsi="宋体" w:cs="宋体"/>
                <w:szCs w:val="21"/>
              </w:rPr>
            </w:pPr>
          </w:p>
          <w:p w14:paraId="01E1EC79">
            <w:pPr>
              <w:jc w:val="center"/>
              <w:rPr>
                <w:rFonts w:hint="eastAsia" w:ascii="宋体" w:hAnsi="宋体" w:cs="宋体"/>
                <w:szCs w:val="21"/>
              </w:rPr>
            </w:pPr>
          </w:p>
          <w:p w14:paraId="53398AD7">
            <w:pPr>
              <w:jc w:val="center"/>
              <w:rPr>
                <w:rFonts w:hint="eastAsia" w:ascii="宋体" w:hAnsi="宋体" w:cs="宋体"/>
                <w:szCs w:val="21"/>
              </w:rPr>
            </w:pPr>
          </w:p>
          <w:p w14:paraId="61902C61">
            <w:pPr>
              <w:jc w:val="center"/>
              <w:rPr>
                <w:rFonts w:hint="eastAsia" w:ascii="宋体" w:hAnsi="宋体" w:cs="宋体"/>
                <w:szCs w:val="21"/>
              </w:rPr>
            </w:pPr>
          </w:p>
          <w:p w14:paraId="730360A6">
            <w:pPr>
              <w:jc w:val="center"/>
              <w:rPr>
                <w:rFonts w:hint="eastAsia" w:ascii="宋体" w:hAnsi="宋体" w:cs="宋体"/>
                <w:szCs w:val="21"/>
              </w:rPr>
            </w:pPr>
          </w:p>
          <w:p w14:paraId="639FB138">
            <w:pPr>
              <w:jc w:val="center"/>
              <w:rPr>
                <w:rFonts w:hint="eastAsia" w:ascii="宋体" w:hAnsi="宋体" w:cs="宋体"/>
                <w:szCs w:val="21"/>
              </w:rPr>
            </w:pPr>
          </w:p>
          <w:p w14:paraId="005EA75C">
            <w:pPr>
              <w:jc w:val="center"/>
              <w:rPr>
                <w:rFonts w:hint="eastAsia" w:ascii="宋体" w:hAnsi="宋体" w:cs="宋体"/>
                <w:szCs w:val="21"/>
              </w:rPr>
            </w:pPr>
          </w:p>
          <w:p w14:paraId="4A472B1F">
            <w:pPr>
              <w:jc w:val="center"/>
              <w:rPr>
                <w:rFonts w:hint="eastAsia" w:ascii="宋体" w:hAnsi="宋体" w:cs="宋体"/>
                <w:szCs w:val="21"/>
              </w:rPr>
            </w:pPr>
          </w:p>
        </w:tc>
      </w:tr>
      <w:tr w14:paraId="5536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78958624">
            <w:pPr>
              <w:jc w:val="center"/>
              <w:rPr>
                <w:rFonts w:hint="eastAsia" w:ascii="宋体" w:hAnsi="宋体" w:cs="宋体"/>
                <w:b/>
                <w:bCs/>
                <w:szCs w:val="21"/>
              </w:rPr>
            </w:pPr>
            <w:r>
              <w:rPr>
                <w:rFonts w:hint="eastAsia" w:ascii="宋体" w:hAnsi="宋体" w:cs="宋体"/>
                <w:szCs w:val="21"/>
              </w:rPr>
              <w:t>20</w:t>
            </w:r>
          </w:p>
        </w:tc>
        <w:tc>
          <w:tcPr>
            <w:tcW w:w="536" w:type="pct"/>
            <w:vAlign w:val="center"/>
          </w:tcPr>
          <w:p w14:paraId="1B4812FC">
            <w:pPr>
              <w:pStyle w:val="80"/>
              <w:jc w:val="center"/>
              <w:rPr>
                <w:rFonts w:hint="eastAsia" w:ascii="宋体" w:hAnsi="宋体" w:cs="宋体"/>
              </w:rPr>
            </w:pPr>
            <w:r>
              <w:rPr>
                <w:rFonts w:hint="eastAsia" w:ascii="宋体" w:hAnsi="宋体" w:cs="宋体"/>
              </w:rPr>
              <w:t>永磁无刷直流电机实训考核系统</w:t>
            </w:r>
          </w:p>
        </w:tc>
        <w:tc>
          <w:tcPr>
            <w:tcW w:w="3571" w:type="pct"/>
            <w:vAlign w:val="center"/>
          </w:tcPr>
          <w:p w14:paraId="370D036C">
            <w:pPr>
              <w:pStyle w:val="80"/>
              <w:numPr>
                <w:ilvl w:val="0"/>
                <w:numId w:val="5"/>
              </w:numPr>
              <w:jc w:val="left"/>
              <w:rPr>
                <w:rFonts w:hint="eastAsia" w:ascii="宋体" w:hAnsi="宋体" w:cs="宋体"/>
              </w:rPr>
            </w:pPr>
            <w:r>
              <w:rPr>
                <w:rFonts w:hint="eastAsia" w:ascii="宋体" w:hAnsi="宋体" w:cs="宋体"/>
              </w:rPr>
              <w:t>产品组成要求：</w:t>
            </w:r>
            <w:r>
              <w:rPr>
                <w:rFonts w:hint="eastAsia" w:ascii="宋体" w:hAnsi="宋体" w:cs="宋体"/>
              </w:rPr>
              <w:br w:type="textWrapping"/>
            </w:r>
            <w:r>
              <w:rPr>
                <w:rFonts w:hint="eastAsia" w:ascii="宋体" w:hAnsi="宋体" w:cs="宋体"/>
              </w:rPr>
              <w:t>永磁同步电机、永磁同步电机控制器、档位开关、启动开关、制动模拟开关、加速踏板、DC/DC转换器、车载充电机、72V锂电池包、电机支撑架、电池管理系统BMS、12V蓄电池、油门踏板、急停开关、国标充电枪、国标充电座、铝型材外观台架。</w:t>
            </w:r>
            <w:r>
              <w:rPr>
                <w:rFonts w:hint="eastAsia" w:ascii="宋体" w:hAnsi="宋体" w:cs="宋体"/>
              </w:rPr>
              <w:br w:type="textWrapping"/>
            </w:r>
            <w:r>
              <w:rPr>
                <w:rFonts w:hint="eastAsia" w:ascii="宋体" w:hAnsi="宋体" w:cs="宋体"/>
              </w:rPr>
              <w:t>二、产品规格要求：</w:t>
            </w:r>
            <w:r>
              <w:rPr>
                <w:rFonts w:hint="eastAsia" w:ascii="宋体" w:hAnsi="宋体" w:cs="宋体"/>
              </w:rPr>
              <w:br w:type="textWrapping"/>
            </w:r>
            <w:r>
              <w:rPr>
                <w:rFonts w:hint="eastAsia" w:ascii="宋体" w:hAnsi="宋体" w:cs="宋体"/>
              </w:rPr>
              <w:t>1、外形尺寸：（长×宽×高)（1600-1610）x（700-710）x（1700-1710）mm；</w:t>
            </w:r>
            <w:r>
              <w:rPr>
                <w:rFonts w:hint="eastAsia" w:ascii="宋体" w:hAnsi="宋体" w:cs="宋体"/>
              </w:rPr>
              <w:br w:type="textWrapping"/>
            </w:r>
            <w:r>
              <w:rPr>
                <w:rFonts w:hint="eastAsia" w:ascii="宋体" w:hAnsi="宋体" w:cs="宋体"/>
              </w:rPr>
              <w:t>2、外接充电电源：AC220V</w:t>
            </w:r>
            <w:r>
              <w:rPr>
                <w:rFonts w:hint="eastAsia" w:ascii="宋体" w:hAnsi="宋体" w:cs="宋体"/>
              </w:rPr>
              <w:br w:type="textWrapping"/>
            </w:r>
            <w:r>
              <w:rPr>
                <w:rFonts w:hint="eastAsia" w:ascii="宋体" w:hAnsi="宋体" w:cs="宋体"/>
              </w:rPr>
              <w:t>3、工作电压：直流12V；高压直流72V</w:t>
            </w:r>
            <w:r>
              <w:rPr>
                <w:rFonts w:hint="eastAsia" w:ascii="宋体" w:hAnsi="宋体" w:cs="宋体"/>
              </w:rPr>
              <w:br w:type="textWrapping"/>
            </w:r>
            <w:r>
              <w:rPr>
                <w:rFonts w:hint="eastAsia" w:ascii="宋体" w:hAnsi="宋体" w:cs="宋体"/>
              </w:rPr>
              <w:t>4、工作温度：-40℃～+50℃</w:t>
            </w:r>
            <w:r>
              <w:rPr>
                <w:rFonts w:hint="eastAsia" w:ascii="宋体" w:hAnsi="宋体" w:cs="宋体"/>
              </w:rPr>
              <w:br w:type="textWrapping"/>
            </w:r>
            <w:r>
              <w:rPr>
                <w:rFonts w:hint="eastAsia" w:ascii="宋体" w:hAnsi="宋体" w:cs="宋体"/>
              </w:rPr>
              <w:t>三、产品功能要求:</w:t>
            </w:r>
            <w:r>
              <w:rPr>
                <w:rFonts w:hint="eastAsia" w:ascii="宋体" w:hAnsi="宋体" w:cs="宋体"/>
              </w:rPr>
              <w:br w:type="textWrapping"/>
            </w:r>
            <w:r>
              <w:rPr>
                <w:rFonts w:hint="eastAsia" w:ascii="宋体" w:hAnsi="宋体" w:cs="宋体"/>
              </w:rPr>
              <w:t>1、实训台可启动运行，充分展示低速纯电动汽车驱动电机系统的各个组成部件，主要包括：动力电池及管理系统BMS、充电系统、电机驱动系统的所有相关电子控制单元、电机驱动系统控制器、电机硬件、制动模拟开关、传感器等组成全部展示出来。</w:t>
            </w:r>
            <w:r>
              <w:rPr>
                <w:rFonts w:hint="eastAsia" w:ascii="宋体" w:hAnsi="宋体" w:cs="宋体"/>
              </w:rPr>
              <w:br w:type="textWrapping"/>
            </w:r>
            <w:r>
              <w:rPr>
                <w:rFonts w:hint="eastAsia" w:ascii="宋体" w:hAnsi="宋体" w:cs="宋体"/>
              </w:rPr>
              <w:t xml:space="preserve">2、运行工况分析功能，开启点火开关即可挂档使设备运行，可以实现启动工况、待机工况、急加速工况等工况。 </w:t>
            </w:r>
            <w:r>
              <w:rPr>
                <w:rFonts w:hint="eastAsia" w:ascii="宋体" w:hAnsi="宋体" w:cs="宋体"/>
              </w:rPr>
              <w:br w:type="textWrapping"/>
            </w:r>
            <w:r>
              <w:rPr>
                <w:rFonts w:hint="eastAsia" w:ascii="宋体" w:hAnsi="宋体" w:cs="宋体"/>
              </w:rPr>
              <w:t xml:space="preserve">3、实训台可通过连接上位机软件，实时显示上电状态、高压电池荷电量SOC、单体电池电压、绝缘阻值等参数变化。 </w:t>
            </w:r>
            <w:r>
              <w:rPr>
                <w:rFonts w:hint="eastAsia" w:ascii="宋体" w:hAnsi="宋体" w:cs="宋体"/>
              </w:rPr>
              <w:br w:type="textWrapping"/>
            </w:r>
            <w:r>
              <w:rPr>
                <w:rFonts w:hint="eastAsia" w:ascii="宋体" w:hAnsi="宋体" w:cs="宋体"/>
              </w:rPr>
              <w:t>4、检测功能：实训台面板上有电路原理图及安装有检测端子、可以直接在面板上检测各控制单元管脚的参数，如电阻、电压信号等。</w:t>
            </w:r>
            <w:r>
              <w:rPr>
                <w:rFonts w:hint="eastAsia" w:ascii="宋体" w:hAnsi="宋体" w:cs="宋体"/>
              </w:rPr>
              <w:br w:type="textWrapping"/>
            </w:r>
            <w:r>
              <w:rPr>
                <w:rFonts w:hint="eastAsia" w:ascii="宋体" w:hAnsi="宋体" w:cs="宋体"/>
              </w:rPr>
              <w:t>5、充电演示功能:实训台配有交流充电接口及充电枪，AC220V的电源，可以对实训台进行充电。</w:t>
            </w:r>
            <w:r>
              <w:rPr>
                <w:rFonts w:hint="eastAsia" w:ascii="宋体" w:hAnsi="宋体" w:cs="宋体"/>
              </w:rPr>
              <w:br w:type="textWrapping"/>
            </w:r>
            <w:r>
              <w:rPr>
                <w:rFonts w:hint="eastAsia" w:ascii="宋体" w:hAnsi="宋体" w:cs="宋体"/>
              </w:rPr>
              <w:t>6.配置网络在线考试系统</w:t>
            </w:r>
          </w:p>
          <w:p w14:paraId="094910B7">
            <w:pPr>
              <w:pStyle w:val="80"/>
              <w:numPr>
                <w:ilvl w:val="0"/>
                <w:numId w:val="5"/>
              </w:numPr>
              <w:jc w:val="left"/>
              <w:rPr>
                <w:rFonts w:hint="eastAsia" w:ascii="宋体" w:hAnsi="宋体" w:cs="宋体"/>
              </w:rPr>
            </w:pPr>
            <w:r>
              <w:rPr>
                <w:rFonts w:hint="eastAsia" w:ascii="宋体" w:hAnsi="宋体" w:cs="宋体"/>
              </w:rPr>
              <w:t>网络在线考试系统采用安卓系统与蓝牙无线网络为基础，集成故障设置、APP软件可在任意安卓系统的智能手机或平板电脑上运行。系统主要由无线故障设置系统和触摸屏的故障考核系统两部分组成，教师在讲课时，用带安卓系统的手机或平板电脑远程无线设置故障，方便教师教学讲课。学生考核可在触摸屏故障考核系统上完成。</w:t>
            </w:r>
            <w:r>
              <w:rPr>
                <w:rFonts w:hint="eastAsia" w:ascii="宋体" w:hAnsi="宋体" w:cs="宋体"/>
              </w:rPr>
              <w:br w:type="textWrapping"/>
            </w:r>
            <w:r>
              <w:rPr>
                <w:rFonts w:hint="eastAsia" w:ascii="宋体" w:hAnsi="宋体" w:cs="宋体"/>
              </w:rPr>
              <w:t>6.1配备5寸触摸控制屏：触摸屏内安装考核管理系统软件，具有教师登录界面和学生登录界面，教师登录界面配有考核故障设置、考核时间设置、登录密码设置、考核成绩查询、用户信息设置功能。</w:t>
            </w:r>
            <w:r>
              <w:rPr>
                <w:rFonts w:hint="eastAsia" w:ascii="宋体" w:hAnsi="宋体" w:cs="宋体"/>
              </w:rPr>
              <w:br w:type="textWrapping"/>
            </w:r>
            <w:r>
              <w:rPr>
                <w:rFonts w:hint="eastAsia" w:ascii="宋体" w:hAnsi="宋体" w:cs="宋体"/>
              </w:rPr>
              <w:t>6.2通过智能化故障设置器对设备相关控制线路进行断路故障设置，通过所设置的故障对设备进行故障诊断与排除:断路故障设置可以设置最少20路的故障,虚接故障设置可以设置最少20路的故障,短路故障设置可以设置最少6路的信号对地短路故障。（注:此实训台只用断路故障功能）</w:t>
            </w:r>
            <w:r>
              <w:rPr>
                <w:rFonts w:hint="eastAsia" w:ascii="宋体" w:hAnsi="宋体" w:cs="宋体"/>
              </w:rPr>
              <w:br w:type="textWrapping"/>
            </w:r>
            <w:r>
              <w:rPr>
                <w:rFonts w:hint="eastAsia" w:ascii="宋体" w:hAnsi="宋体" w:cs="宋体"/>
              </w:rPr>
              <w:t>6.3故障名称设置功能可以把故障名称自定义编辑命名,所有故障设置界面都具有“全部设置”“全部清除”功能。</w:t>
            </w:r>
            <w:r>
              <w:rPr>
                <w:rFonts w:hint="eastAsia" w:ascii="宋体" w:hAnsi="宋体" w:cs="宋体"/>
              </w:rPr>
              <w:br w:type="textWrapping"/>
            </w:r>
            <w:r>
              <w:rPr>
                <w:rFonts w:hint="eastAsia" w:ascii="宋体" w:hAnsi="宋体" w:cs="宋体"/>
              </w:rPr>
              <w:t>6.4故障设置器板采用LM2596S电源芯片输入输出做反接保护处理，主控制芯片采用双12C5A08S2系列单片机，采用SRA-12VDC-CL大电流继电器作为故障设置开关，继电器使用ULN2803APG芯片控制线圈引脚。故障设置器所有故障点都安装故障指示灯并能够外接，每块故障设置器板都预留启动控制接口方便功能拓展。</w:t>
            </w:r>
            <w:r>
              <w:rPr>
                <w:rFonts w:hint="eastAsia" w:ascii="宋体" w:hAnsi="宋体" w:cs="宋体"/>
              </w:rPr>
              <w:br w:type="textWrapping"/>
            </w:r>
            <w:r>
              <w:rPr>
                <w:rFonts w:hint="eastAsia" w:ascii="宋体" w:hAnsi="宋体" w:cs="宋体"/>
              </w:rPr>
              <w:t>6.5故障设置器具有可拓展功能，最大允许扩容的100路故障。故障设置器主通讯板尺寸长153mm宽86mm，继电器板长205mm宽177mm。</w:t>
            </w:r>
            <w:r>
              <w:rPr>
                <w:rFonts w:hint="eastAsia" w:ascii="宋体" w:hAnsi="宋体" w:cs="宋体"/>
              </w:rPr>
              <w:br w:type="textWrapping"/>
            </w:r>
            <w:r>
              <w:rPr>
                <w:rFonts w:hint="eastAsia" w:ascii="宋体" w:hAnsi="宋体" w:cs="宋体"/>
              </w:rPr>
              <w:t>四、教学及实训项目:</w:t>
            </w:r>
            <w:r>
              <w:rPr>
                <w:rFonts w:hint="eastAsia" w:ascii="宋体" w:hAnsi="宋体" w:cs="宋体"/>
              </w:rPr>
              <w:br w:type="textWrapping"/>
            </w:r>
            <w:r>
              <w:rPr>
                <w:rFonts w:hint="eastAsia" w:ascii="宋体" w:hAnsi="宋体" w:cs="宋体"/>
              </w:rPr>
              <w:t>1、了解动力电池组的内部结构组成</w:t>
            </w:r>
            <w:r>
              <w:rPr>
                <w:rFonts w:hint="eastAsia" w:ascii="宋体" w:hAnsi="宋体" w:cs="宋体"/>
              </w:rPr>
              <w:br w:type="textWrapping"/>
            </w:r>
            <w:r>
              <w:rPr>
                <w:rFonts w:hint="eastAsia" w:ascii="宋体" w:hAnsi="宋体" w:cs="宋体"/>
              </w:rPr>
              <w:t>2、单体电池的连接方式</w:t>
            </w:r>
            <w:r>
              <w:rPr>
                <w:rFonts w:hint="eastAsia" w:ascii="宋体" w:hAnsi="宋体" w:cs="宋体"/>
              </w:rPr>
              <w:br w:type="textWrapping"/>
            </w:r>
            <w:r>
              <w:rPr>
                <w:rFonts w:hint="eastAsia" w:ascii="宋体" w:hAnsi="宋体" w:cs="宋体"/>
              </w:rPr>
              <w:t>3、单体电池模块的安装位置及接线</w:t>
            </w:r>
            <w:r>
              <w:rPr>
                <w:rFonts w:hint="eastAsia" w:ascii="宋体" w:hAnsi="宋体" w:cs="宋体"/>
              </w:rPr>
              <w:br w:type="textWrapping"/>
            </w:r>
            <w:r>
              <w:rPr>
                <w:rFonts w:hint="eastAsia" w:ascii="宋体" w:hAnsi="宋体" w:cs="宋体"/>
              </w:rPr>
              <w:t>4、DC+和DC-主电源线的区分、拆装及电压检测</w:t>
            </w:r>
            <w:r>
              <w:rPr>
                <w:rFonts w:hint="eastAsia" w:ascii="宋体" w:hAnsi="宋体" w:cs="宋体"/>
              </w:rPr>
              <w:br w:type="textWrapping"/>
            </w:r>
            <w:r>
              <w:rPr>
                <w:rFonts w:hint="eastAsia" w:ascii="宋体" w:hAnsi="宋体" w:cs="宋体"/>
              </w:rPr>
              <w:t>5、电池管理控制系统控制器的位置、作用、控制内容、控制原理。</w:t>
            </w:r>
            <w:r>
              <w:rPr>
                <w:rFonts w:hint="eastAsia" w:ascii="宋体" w:hAnsi="宋体" w:cs="宋体"/>
              </w:rPr>
              <w:br w:type="textWrapping"/>
            </w:r>
            <w:r>
              <w:rPr>
                <w:rFonts w:hint="eastAsia" w:ascii="宋体" w:hAnsi="宋体" w:cs="宋体"/>
              </w:rPr>
              <w:t>6、电池管理控制系统的电路图分析</w:t>
            </w:r>
            <w:r>
              <w:rPr>
                <w:rFonts w:hint="eastAsia" w:ascii="宋体" w:hAnsi="宋体" w:cs="宋体"/>
              </w:rPr>
              <w:br w:type="textWrapping"/>
            </w:r>
            <w:r>
              <w:rPr>
                <w:rFonts w:hint="eastAsia" w:ascii="宋体" w:hAnsi="宋体" w:cs="宋体"/>
              </w:rPr>
              <w:t>7、电池管理控制系统电路的检测</w:t>
            </w:r>
            <w:r>
              <w:rPr>
                <w:rFonts w:hint="eastAsia" w:ascii="宋体" w:hAnsi="宋体" w:cs="宋体"/>
              </w:rPr>
              <w:br w:type="textWrapping"/>
            </w:r>
            <w:r>
              <w:rPr>
                <w:rFonts w:hint="eastAsia" w:ascii="宋体" w:hAnsi="宋体" w:cs="宋体"/>
              </w:rPr>
              <w:t>8、电池管理控制系统故障分析</w:t>
            </w:r>
            <w:r>
              <w:rPr>
                <w:rFonts w:hint="eastAsia" w:ascii="宋体" w:hAnsi="宋体" w:cs="宋体"/>
              </w:rPr>
              <w:br w:type="textWrapping"/>
            </w:r>
            <w:r>
              <w:rPr>
                <w:rFonts w:hint="eastAsia" w:ascii="宋体" w:hAnsi="宋体" w:cs="宋体"/>
              </w:rPr>
              <w:t xml:space="preserve">9、掌握高压操作安全原理及操作方法 </w:t>
            </w:r>
            <w:r>
              <w:rPr>
                <w:rFonts w:hint="eastAsia" w:ascii="宋体" w:hAnsi="宋体" w:cs="宋体"/>
              </w:rPr>
              <w:br w:type="textWrapping"/>
            </w:r>
            <w:r>
              <w:rPr>
                <w:rFonts w:hint="eastAsia" w:ascii="宋体" w:hAnsi="宋体" w:cs="宋体"/>
              </w:rPr>
              <w:t>10、了解电池管理系统的各项功能</w:t>
            </w:r>
            <w:r>
              <w:rPr>
                <w:rFonts w:hint="eastAsia" w:ascii="宋体" w:hAnsi="宋体" w:cs="宋体"/>
              </w:rPr>
              <w:br w:type="textWrapping"/>
            </w:r>
            <w:r>
              <w:rPr>
                <w:rFonts w:hint="eastAsia" w:ascii="宋体" w:hAnsi="宋体" w:cs="宋体"/>
              </w:rPr>
              <w:t>11、预充接触器认知及参数检测</w:t>
            </w:r>
            <w:r>
              <w:rPr>
                <w:rFonts w:hint="eastAsia" w:ascii="宋体" w:hAnsi="宋体" w:cs="宋体"/>
              </w:rPr>
              <w:br w:type="textWrapping"/>
            </w:r>
            <w:r>
              <w:rPr>
                <w:rFonts w:hint="eastAsia" w:ascii="宋体" w:hAnsi="宋体" w:cs="宋体"/>
              </w:rPr>
              <w:t>12、直流正极及负极接触器认知及参数检测</w:t>
            </w:r>
            <w:r>
              <w:rPr>
                <w:rFonts w:hint="eastAsia" w:ascii="宋体" w:hAnsi="宋体" w:cs="宋体"/>
              </w:rPr>
              <w:br w:type="textWrapping"/>
            </w:r>
            <w:r>
              <w:rPr>
                <w:rFonts w:hint="eastAsia" w:ascii="宋体" w:hAnsi="宋体" w:cs="宋体"/>
              </w:rPr>
              <w:t>13、霍尔传感器认知及参数检测</w:t>
            </w:r>
            <w:r>
              <w:rPr>
                <w:rFonts w:hint="eastAsia" w:ascii="宋体" w:hAnsi="宋体" w:cs="宋体"/>
              </w:rPr>
              <w:br w:type="textWrapping"/>
            </w:r>
            <w:r>
              <w:rPr>
                <w:rFonts w:hint="eastAsia" w:ascii="宋体" w:hAnsi="宋体" w:cs="宋体"/>
              </w:rPr>
              <w:t>14、预充电阻认知及参数检测</w:t>
            </w:r>
            <w:r>
              <w:rPr>
                <w:rFonts w:hint="eastAsia" w:ascii="宋体" w:hAnsi="宋体" w:cs="宋体"/>
              </w:rPr>
              <w:br w:type="textWrapping"/>
            </w:r>
            <w:r>
              <w:rPr>
                <w:rFonts w:hint="eastAsia" w:ascii="宋体" w:hAnsi="宋体" w:cs="宋体"/>
              </w:rPr>
              <w:t>15、主供电源线正负及线的认知及拆装</w:t>
            </w:r>
            <w:r>
              <w:rPr>
                <w:rFonts w:hint="eastAsia" w:ascii="宋体" w:hAnsi="宋体" w:cs="宋体"/>
              </w:rPr>
              <w:br w:type="textWrapping"/>
            </w:r>
            <w:r>
              <w:rPr>
                <w:rFonts w:hint="eastAsia" w:ascii="宋体" w:hAnsi="宋体" w:cs="宋体"/>
              </w:rPr>
              <w:t>16、交流充电线的认知及拆装</w:t>
            </w:r>
            <w:r>
              <w:rPr>
                <w:rFonts w:hint="eastAsia" w:ascii="宋体" w:hAnsi="宋体" w:cs="宋体"/>
              </w:rPr>
              <w:br w:type="textWrapping"/>
            </w:r>
            <w:r>
              <w:rPr>
                <w:rFonts w:hint="eastAsia" w:ascii="宋体" w:hAnsi="宋体" w:cs="宋体"/>
              </w:rPr>
              <w:t>17、车载充电器的认知</w:t>
            </w:r>
            <w:r>
              <w:rPr>
                <w:rFonts w:hint="eastAsia" w:ascii="宋体" w:hAnsi="宋体" w:cs="宋体"/>
              </w:rPr>
              <w:br w:type="textWrapping"/>
            </w:r>
            <w:r>
              <w:rPr>
                <w:rFonts w:hint="eastAsia" w:ascii="宋体" w:hAnsi="宋体" w:cs="宋体"/>
              </w:rPr>
              <w:t>18、电机控制器的认知</w:t>
            </w:r>
            <w:r>
              <w:rPr>
                <w:rFonts w:hint="eastAsia" w:ascii="宋体" w:hAnsi="宋体" w:cs="宋体"/>
              </w:rPr>
              <w:br w:type="textWrapping"/>
            </w:r>
            <w:r>
              <w:rPr>
                <w:rFonts w:hint="eastAsia" w:ascii="宋体" w:hAnsi="宋体" w:cs="宋体"/>
              </w:rPr>
              <w:t>19、DC/DC转换器的认知</w:t>
            </w:r>
            <w:r>
              <w:rPr>
                <w:rFonts w:hint="eastAsia" w:ascii="宋体" w:hAnsi="宋体" w:cs="宋体"/>
              </w:rPr>
              <w:br w:type="textWrapping"/>
            </w:r>
            <w:r>
              <w:rPr>
                <w:rFonts w:hint="eastAsia" w:ascii="宋体" w:hAnsi="宋体" w:cs="宋体"/>
              </w:rPr>
              <w:t>20、故障模拟现象及故障的检测与排除</w:t>
            </w:r>
            <w:r>
              <w:rPr>
                <w:rFonts w:hint="eastAsia" w:ascii="宋体" w:hAnsi="宋体" w:cs="宋体"/>
              </w:rPr>
              <w:br w:type="textWrapping"/>
            </w:r>
            <w:r>
              <w:rPr>
                <w:rFonts w:hint="eastAsia" w:ascii="宋体" w:hAnsi="宋体" w:cs="宋体"/>
              </w:rPr>
              <w:t>21、电动汽车电机结构学习</w:t>
            </w:r>
            <w:r>
              <w:rPr>
                <w:rFonts w:hint="eastAsia" w:ascii="宋体" w:hAnsi="宋体" w:cs="宋体"/>
              </w:rPr>
              <w:br w:type="textWrapping"/>
            </w:r>
            <w:r>
              <w:rPr>
                <w:rFonts w:hint="eastAsia" w:ascii="宋体" w:hAnsi="宋体" w:cs="宋体"/>
              </w:rPr>
              <w:t>22、电动汽车电机及电机控制器高压安全操作实训</w:t>
            </w:r>
            <w:r>
              <w:rPr>
                <w:rFonts w:hint="eastAsia" w:ascii="宋体" w:hAnsi="宋体" w:cs="宋体"/>
              </w:rPr>
              <w:br w:type="textWrapping"/>
            </w:r>
            <w:r>
              <w:rPr>
                <w:rFonts w:hint="eastAsia" w:ascii="宋体" w:hAnsi="宋体" w:cs="宋体"/>
              </w:rPr>
              <w:t>23、电动汽车高压器件拆装试验；</w:t>
            </w:r>
          </w:p>
        </w:tc>
        <w:tc>
          <w:tcPr>
            <w:tcW w:w="357" w:type="pct"/>
            <w:vAlign w:val="center"/>
          </w:tcPr>
          <w:p w14:paraId="53130516">
            <w:pPr>
              <w:jc w:val="center"/>
              <w:rPr>
                <w:rFonts w:hint="eastAsia" w:ascii="宋体" w:hAnsi="宋体" w:cs="宋体"/>
                <w:szCs w:val="21"/>
              </w:rPr>
            </w:pPr>
            <w:r>
              <w:rPr>
                <w:rFonts w:hint="eastAsia" w:ascii="宋体" w:hAnsi="宋体" w:cs="宋体"/>
                <w:szCs w:val="21"/>
              </w:rPr>
              <w:t>1</w:t>
            </w:r>
          </w:p>
        </w:tc>
        <w:tc>
          <w:tcPr>
            <w:tcW w:w="341" w:type="pct"/>
            <w:vAlign w:val="center"/>
          </w:tcPr>
          <w:p w14:paraId="1BB6F735">
            <w:pPr>
              <w:jc w:val="center"/>
              <w:rPr>
                <w:rFonts w:hint="eastAsia" w:ascii="宋体" w:hAnsi="宋体" w:cs="宋体"/>
                <w:szCs w:val="21"/>
              </w:rPr>
            </w:pPr>
            <w:r>
              <w:rPr>
                <w:rFonts w:hint="eastAsia" w:ascii="宋体" w:hAnsi="宋体" w:cs="宋体"/>
                <w:szCs w:val="21"/>
              </w:rPr>
              <w:t>套</w:t>
            </w:r>
          </w:p>
        </w:tc>
      </w:tr>
      <w:tr w14:paraId="01D6F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2602AC91">
            <w:pPr>
              <w:jc w:val="center"/>
              <w:rPr>
                <w:rFonts w:hint="eastAsia" w:ascii="宋体" w:hAnsi="宋体" w:cs="宋体"/>
                <w:b/>
                <w:bCs/>
                <w:szCs w:val="21"/>
              </w:rPr>
            </w:pPr>
            <w:r>
              <w:rPr>
                <w:rFonts w:hint="eastAsia" w:ascii="宋体" w:hAnsi="宋体" w:cs="宋体"/>
                <w:szCs w:val="21"/>
              </w:rPr>
              <w:t>21</w:t>
            </w:r>
          </w:p>
        </w:tc>
        <w:tc>
          <w:tcPr>
            <w:tcW w:w="536" w:type="pct"/>
            <w:vAlign w:val="center"/>
          </w:tcPr>
          <w:p w14:paraId="4FA306C6">
            <w:pPr>
              <w:pStyle w:val="80"/>
              <w:jc w:val="center"/>
              <w:rPr>
                <w:rFonts w:hint="eastAsia" w:ascii="宋体" w:hAnsi="宋体" w:cs="宋体"/>
              </w:rPr>
            </w:pPr>
            <w:r>
              <w:rPr>
                <w:rFonts w:hint="eastAsia" w:ascii="宋体" w:hAnsi="宋体" w:cs="宋体"/>
              </w:rPr>
              <w:t>汽车电工电子实验箱</w:t>
            </w:r>
          </w:p>
        </w:tc>
        <w:tc>
          <w:tcPr>
            <w:tcW w:w="3571" w:type="pct"/>
            <w:vAlign w:val="center"/>
          </w:tcPr>
          <w:p w14:paraId="3C47BA70">
            <w:pPr>
              <w:pStyle w:val="80"/>
              <w:ind w:left="105" w:leftChars="50"/>
              <w:jc w:val="left"/>
              <w:rPr>
                <w:rFonts w:hint="eastAsia" w:ascii="宋体" w:hAnsi="宋体" w:cs="宋体"/>
              </w:rPr>
            </w:pPr>
            <w:r>
              <w:rPr>
                <w:rFonts w:hint="eastAsia" w:ascii="宋体" w:hAnsi="宋体" w:cs="宋体"/>
              </w:rPr>
              <w:t>一、要求</w:t>
            </w:r>
            <w:r>
              <w:rPr>
                <w:rFonts w:hint="eastAsia" w:ascii="宋体" w:hAnsi="宋体" w:cs="宋体"/>
              </w:rPr>
              <w:br w:type="textWrapping"/>
            </w:r>
            <w:r>
              <w:rPr>
                <w:rFonts w:hint="eastAsia" w:ascii="宋体" w:hAnsi="宋体" w:cs="宋体"/>
              </w:rPr>
              <w:t>培养汽车运用于维修专业学生分析汽车电路中实际问题的基本方法与能力，同时培养学生理论与实际相结合的能力。至少包含四个训练模块，即汽车大灯电路连接训练与分析功能模块、继电器控制电路训练与分析功能模块、电子电路连接训练与分析功能模块、集成电路连接训练与分析功能模块等，通过对汽车电子电工试验电路分析，可以提升以下几个方面的职业能力：</w:t>
            </w:r>
            <w:r>
              <w:rPr>
                <w:rFonts w:hint="eastAsia" w:ascii="宋体" w:hAnsi="宋体" w:cs="宋体"/>
              </w:rPr>
              <w:br w:type="textWrapping"/>
            </w:r>
            <w:r>
              <w:rPr>
                <w:rFonts w:hint="eastAsia" w:ascii="宋体" w:hAnsi="宋体" w:cs="宋体"/>
              </w:rPr>
              <w:t>1、能提升汽车电路的读识；</w:t>
            </w:r>
            <w:r>
              <w:rPr>
                <w:rFonts w:hint="eastAsia" w:ascii="宋体" w:hAnsi="宋体" w:cs="宋体"/>
              </w:rPr>
              <w:br w:type="textWrapping"/>
            </w:r>
            <w:r>
              <w:rPr>
                <w:rFonts w:hint="eastAsia" w:ascii="宋体" w:hAnsi="宋体" w:cs="宋体"/>
              </w:rPr>
              <w:t>2、能够对简单的汽车电路进行分析；</w:t>
            </w:r>
            <w:r>
              <w:rPr>
                <w:rFonts w:hint="eastAsia" w:ascii="宋体" w:hAnsi="宋体" w:cs="宋体"/>
              </w:rPr>
              <w:br w:type="textWrapping"/>
            </w:r>
            <w:r>
              <w:rPr>
                <w:rFonts w:hint="eastAsia" w:ascii="宋体" w:hAnsi="宋体" w:cs="宋体"/>
              </w:rPr>
              <w:t>3、能够常见汽车电工电子设备、仪器仪表的正确使用；</w:t>
            </w:r>
            <w:r>
              <w:rPr>
                <w:rFonts w:hint="eastAsia" w:ascii="宋体" w:hAnsi="宋体" w:cs="宋体"/>
              </w:rPr>
              <w:br w:type="textWrapping"/>
            </w:r>
            <w:r>
              <w:rPr>
                <w:rFonts w:hint="eastAsia" w:ascii="宋体" w:hAnsi="宋体" w:cs="宋体"/>
              </w:rPr>
              <w:t>4、能够进行简单的电子电路故障的排除；</w:t>
            </w:r>
            <w:r>
              <w:rPr>
                <w:rFonts w:hint="eastAsia" w:ascii="宋体" w:hAnsi="宋体" w:cs="宋体"/>
              </w:rPr>
              <w:br w:type="textWrapping"/>
            </w:r>
            <w:r>
              <w:rPr>
                <w:rFonts w:hint="eastAsia" w:ascii="宋体" w:hAnsi="宋体" w:cs="宋体"/>
              </w:rPr>
              <w:t>二、功能模块</w:t>
            </w:r>
            <w:r>
              <w:rPr>
                <w:rFonts w:hint="eastAsia" w:ascii="宋体" w:hAnsi="宋体" w:cs="宋体"/>
              </w:rPr>
              <w:br w:type="textWrapping"/>
            </w:r>
            <w:r>
              <w:rPr>
                <w:rFonts w:hint="eastAsia" w:ascii="宋体" w:hAnsi="宋体" w:cs="宋体"/>
              </w:rPr>
              <w:t>1、汽车灯光照明系统接线实训设备与分析功能模块</w:t>
            </w:r>
            <w:r>
              <w:rPr>
                <w:rFonts w:hint="eastAsia" w:ascii="宋体" w:hAnsi="宋体" w:cs="宋体"/>
              </w:rPr>
              <w:br w:type="textWrapping"/>
            </w:r>
            <w:r>
              <w:rPr>
                <w:rFonts w:hint="eastAsia" w:ascii="宋体" w:hAnsi="宋体" w:cs="宋体"/>
              </w:rPr>
              <w:t>汽车灯光电路连接训练与分析模块所示，在该功能模块上设置有电源、保险丝、开关、灯泡等多种元器件及电气符号，在该功能模块上可以完成以下几项训练任务：</w:t>
            </w:r>
            <w:r>
              <w:rPr>
                <w:rFonts w:hint="eastAsia" w:ascii="宋体" w:hAnsi="宋体" w:cs="宋体"/>
              </w:rPr>
              <w:br w:type="textWrapping"/>
            </w:r>
            <w:r>
              <w:rPr>
                <w:rFonts w:hint="eastAsia" w:ascii="宋体" w:hAnsi="宋体" w:cs="宋体"/>
              </w:rPr>
              <w:t>1）电气符号认识训练：在功能模块板上安装了多种电气元件以及电气元件符号图，既认识了电气元件，又可认识电气元件的符号，便于后续汽车电路的读识；</w:t>
            </w:r>
            <w:r>
              <w:rPr>
                <w:rFonts w:hint="eastAsia" w:ascii="宋体" w:hAnsi="宋体" w:cs="宋体"/>
              </w:rPr>
              <w:br w:type="textWrapping"/>
            </w:r>
            <w:r>
              <w:rPr>
                <w:rFonts w:hint="eastAsia" w:ascii="宋体" w:hAnsi="宋体" w:cs="宋体"/>
              </w:rPr>
              <w:t>2）线路连接训练：教师给出多副基本电路图，学生根据电路图在功能模块板上进行接线训练，并且可以打开或关闭功能模块板上的开关，判别接线是否正确，通过该项目的训练，可以达到熟悉串联电路、并联电路、混联电路的目的；</w:t>
            </w:r>
            <w:r>
              <w:rPr>
                <w:rFonts w:hint="eastAsia" w:ascii="宋体" w:hAnsi="宋体" w:cs="宋体"/>
              </w:rPr>
              <w:br w:type="textWrapping"/>
            </w:r>
            <w:r>
              <w:rPr>
                <w:rFonts w:hint="eastAsia" w:ascii="宋体" w:hAnsi="宋体" w:cs="宋体"/>
              </w:rPr>
              <w:t>3）电路测量训练：可以用万用表测量已连接好的线路上各测量点上的电位以及各段电路上的电流大小，并且根据测量数据进行简单计算分析，通过该项目训练，可以起到常见汽车电工电子设备、仪器仪表的正确使用的目的；</w:t>
            </w:r>
            <w:r>
              <w:rPr>
                <w:rFonts w:hint="eastAsia" w:ascii="宋体" w:hAnsi="宋体" w:cs="宋体"/>
              </w:rPr>
              <w:br w:type="textWrapping"/>
            </w:r>
            <w:r>
              <w:rPr>
                <w:rFonts w:hint="eastAsia" w:ascii="宋体" w:hAnsi="宋体" w:cs="宋体"/>
              </w:rPr>
              <w:t>4）故障诊断与分析训练：在功能模块上可以设置一定数量的故障，遵循“故障现象→主要原因→具体原因”的分析原则，进行故障原因分析，达到提升电路分析能力；</w:t>
            </w:r>
            <w:r>
              <w:rPr>
                <w:rFonts w:hint="eastAsia" w:ascii="宋体" w:hAnsi="宋体" w:cs="宋体"/>
              </w:rPr>
              <w:br w:type="textWrapping"/>
            </w:r>
            <w:r>
              <w:rPr>
                <w:rFonts w:hint="eastAsia" w:ascii="宋体" w:hAnsi="宋体" w:cs="宋体"/>
              </w:rPr>
              <w:t>5）电路绘制训练：在功能模块上事先用导线连接实物线路，然后让学生根据实物线路进行绘制电路图，提升绘图能力。</w:t>
            </w:r>
            <w:r>
              <w:rPr>
                <w:rFonts w:hint="eastAsia" w:ascii="宋体" w:hAnsi="宋体" w:cs="宋体"/>
              </w:rPr>
              <w:br w:type="textWrapping"/>
            </w:r>
            <w:r>
              <w:rPr>
                <w:rFonts w:hint="eastAsia" w:ascii="宋体" w:hAnsi="宋体" w:cs="宋体"/>
              </w:rPr>
              <w:t>2、汽车继电器控制电路训练与分析功能模块</w:t>
            </w:r>
            <w:r>
              <w:rPr>
                <w:rFonts w:hint="eastAsia" w:ascii="宋体" w:hAnsi="宋体" w:cs="宋体"/>
              </w:rPr>
              <w:br w:type="textWrapping"/>
            </w:r>
            <w:r>
              <w:rPr>
                <w:rFonts w:hint="eastAsia" w:ascii="宋体" w:hAnsi="宋体" w:cs="宋体"/>
              </w:rPr>
              <w:t>继电器控制电路训练与分析功能模块，在该功能模块上设置有电源、保险丝、开关、继电器、大灯、电机等多种元器件及电气符号，在该功能模块上可以完成以下几项训练任务：</w:t>
            </w:r>
            <w:r>
              <w:rPr>
                <w:rFonts w:hint="eastAsia" w:ascii="宋体" w:hAnsi="宋体" w:cs="宋体"/>
              </w:rPr>
              <w:br w:type="textWrapping"/>
            </w:r>
            <w:r>
              <w:rPr>
                <w:rFonts w:hint="eastAsia" w:ascii="宋体" w:hAnsi="宋体" w:cs="宋体"/>
              </w:rPr>
              <w:t>1）电气符号认识训练：在功能模块板上安装了多种电气元件以及电气元件符号图，既认识了电气元件，又可认识电气元件的符号，便于后续汽车电路的读识；</w:t>
            </w:r>
            <w:r>
              <w:rPr>
                <w:rFonts w:hint="eastAsia" w:ascii="宋体" w:hAnsi="宋体" w:cs="宋体"/>
              </w:rPr>
              <w:br w:type="textWrapping"/>
            </w:r>
            <w:r>
              <w:rPr>
                <w:rFonts w:hint="eastAsia" w:ascii="宋体" w:hAnsi="宋体" w:cs="宋体"/>
              </w:rPr>
              <w:t>2）线路连接训练：教师给出多副基本电路图，学生根据电路图在功能模块板上进行接线训练，并且可以打开或关闭功能模块板上的开关，判别接线是否正确，通过该项目的训练，可以达到利用继电器控制灯泡亮与灭以及直流电机的正转与反转等训练目的；</w:t>
            </w:r>
            <w:r>
              <w:rPr>
                <w:rFonts w:hint="eastAsia" w:ascii="宋体" w:hAnsi="宋体" w:cs="宋体"/>
              </w:rPr>
              <w:br w:type="textWrapping"/>
            </w:r>
            <w:r>
              <w:rPr>
                <w:rFonts w:hint="eastAsia" w:ascii="宋体" w:hAnsi="宋体" w:cs="宋体"/>
              </w:rPr>
              <w:t>3）电路测量训练：可以用万用表测量已连接好的线路上各测量点上的电位以及各段电路上的电流大小，并且根据测量数据进行简单计算分析，通过该项目训练，可以起到常见汽车电工电子设备、仪器仪表的正确使用的目的；</w:t>
            </w:r>
            <w:r>
              <w:rPr>
                <w:rFonts w:hint="eastAsia" w:ascii="宋体" w:hAnsi="宋体" w:cs="宋体"/>
              </w:rPr>
              <w:br w:type="textWrapping"/>
            </w:r>
            <w:r>
              <w:rPr>
                <w:rFonts w:hint="eastAsia" w:ascii="宋体" w:hAnsi="宋体" w:cs="宋体"/>
              </w:rPr>
              <w:t>4）故障诊断与分析训练：通过在功能模块上设置一定数量的故障，遵循“故障现象→主要原因→具体原因”的分析原则，进行故障原因分析，达到提升带有继电器控制的电路分析能力；</w:t>
            </w:r>
            <w:r>
              <w:rPr>
                <w:rFonts w:hint="eastAsia" w:ascii="宋体" w:hAnsi="宋体" w:cs="宋体"/>
              </w:rPr>
              <w:br w:type="textWrapping"/>
            </w:r>
            <w:r>
              <w:rPr>
                <w:rFonts w:hint="eastAsia" w:ascii="宋体" w:hAnsi="宋体" w:cs="宋体"/>
              </w:rPr>
              <w:t>5）电路绘制训练：在功能模块上事先用导线连接实物线路，然后让学生根据实物线路进行绘制电路图，提升绘图能力以及电气元件符号的认识能力。</w:t>
            </w:r>
            <w:r>
              <w:rPr>
                <w:rFonts w:hint="eastAsia" w:ascii="宋体" w:hAnsi="宋体" w:cs="宋体"/>
              </w:rPr>
              <w:br w:type="textWrapping"/>
            </w:r>
            <w:r>
              <w:rPr>
                <w:rFonts w:hint="eastAsia" w:ascii="宋体" w:hAnsi="宋体" w:cs="宋体"/>
              </w:rPr>
              <w:t>3、汽车电子电路连接训练与分析功能模块</w:t>
            </w:r>
            <w:r>
              <w:rPr>
                <w:rFonts w:hint="eastAsia" w:ascii="宋体" w:hAnsi="宋体" w:cs="宋体"/>
              </w:rPr>
              <w:br w:type="textWrapping"/>
            </w:r>
            <w:r>
              <w:rPr>
                <w:rFonts w:hint="eastAsia" w:ascii="宋体" w:hAnsi="宋体" w:cs="宋体"/>
              </w:rPr>
              <w:t>电子电路连接训练与分析功能模块，在该功能模块上设置有电源、保险丝、开关、大灯、电阻、继电器、二极管、三极管、可变电阻器等多种元器件及电气符号，在该功能模块上可以完成以下几项训练任务：</w:t>
            </w:r>
            <w:r>
              <w:rPr>
                <w:rFonts w:hint="eastAsia" w:ascii="宋体" w:hAnsi="宋体" w:cs="宋体"/>
              </w:rPr>
              <w:br w:type="textWrapping"/>
            </w:r>
            <w:r>
              <w:rPr>
                <w:rFonts w:hint="eastAsia" w:ascii="宋体" w:hAnsi="宋体" w:cs="宋体"/>
              </w:rPr>
              <w:t>1）电气符号认识训练：在功能模块板上安装了多种电气、晶体管元件以及电气、晶体管元件符号图，既认识了电气以及晶体管元件，又可认识电气及晶体管元件的符号，便于后续汽车电路的读识；</w:t>
            </w:r>
            <w:r>
              <w:rPr>
                <w:rFonts w:hint="eastAsia" w:ascii="宋体" w:hAnsi="宋体" w:cs="宋体"/>
              </w:rPr>
              <w:br w:type="textWrapping"/>
            </w:r>
            <w:r>
              <w:rPr>
                <w:rFonts w:hint="eastAsia" w:ascii="宋体" w:hAnsi="宋体" w:cs="宋体"/>
              </w:rPr>
              <w:t>2）线路连接训练：教师给出多副基本线路连接训练电路图，学生根据电路图在功能模块板上进行接线训练，并且可以打开或关闭功能模块板上的开关，判别接线是否正确，利用可调电阻器的阻止变化，验证电路是否可行，通过该项目的训练，可以达到训练带有晶体管电路分析能力的目的；</w:t>
            </w:r>
            <w:r>
              <w:rPr>
                <w:rFonts w:hint="eastAsia" w:ascii="宋体" w:hAnsi="宋体" w:cs="宋体"/>
              </w:rPr>
              <w:br w:type="textWrapping"/>
            </w:r>
            <w:r>
              <w:rPr>
                <w:rFonts w:hint="eastAsia" w:ascii="宋体" w:hAnsi="宋体" w:cs="宋体"/>
              </w:rPr>
              <w:t>3）电路测量训练：可以用万用表测量已连接好的线路上各测量点上的电位以及各段电路上的电流大小，并且根据测量数据进行简单计算分析，利用万用表的电阻档或蜂鸣档检测二极管的单向导电性以及极性的判别，通过检测电流的大小来判别三极管的电路放大特性，另外，通过该项目训练，可以起到常见汽车电工电子设备、仪器仪表的正确使用的目的；</w:t>
            </w:r>
            <w:r>
              <w:rPr>
                <w:rFonts w:hint="eastAsia" w:ascii="宋体" w:hAnsi="宋体" w:cs="宋体"/>
              </w:rPr>
              <w:br w:type="textWrapping"/>
            </w:r>
            <w:r>
              <w:rPr>
                <w:rFonts w:hint="eastAsia" w:ascii="宋体" w:hAnsi="宋体" w:cs="宋体"/>
              </w:rPr>
              <w:t>4）故障诊断与分析训练：通过在功能模块上设置一定数量的故障，遵循“故障现象→主要原因→具体原因”的分析原则，进行故障原因分析，达到提升带有晶体管的电路分析能力；</w:t>
            </w:r>
            <w:r>
              <w:rPr>
                <w:rFonts w:hint="eastAsia" w:ascii="宋体" w:hAnsi="宋体" w:cs="宋体"/>
              </w:rPr>
              <w:br w:type="textWrapping"/>
            </w:r>
            <w:r>
              <w:rPr>
                <w:rFonts w:hint="eastAsia" w:ascii="宋体" w:hAnsi="宋体" w:cs="宋体"/>
              </w:rPr>
              <w:t>5）电路绘制训练：在功能模块上事先用导线连接实物线路，然后让学生根据实物线路进行绘制电路图，提升绘图能力以及电气元件符号的认识能力。</w:t>
            </w:r>
            <w:r>
              <w:rPr>
                <w:rFonts w:hint="eastAsia" w:ascii="宋体" w:hAnsi="宋体" w:cs="宋体"/>
              </w:rPr>
              <w:br w:type="textWrapping"/>
            </w:r>
            <w:r>
              <w:rPr>
                <w:rFonts w:hint="eastAsia" w:ascii="宋体" w:hAnsi="宋体" w:cs="宋体"/>
              </w:rPr>
              <w:t>4、汽车集成电路连接训练与分析功能模块</w:t>
            </w:r>
            <w:r>
              <w:rPr>
                <w:rFonts w:hint="eastAsia" w:ascii="宋体" w:hAnsi="宋体" w:cs="宋体"/>
              </w:rPr>
              <w:br w:type="textWrapping"/>
            </w:r>
            <w:r>
              <w:rPr>
                <w:rFonts w:hint="eastAsia" w:ascii="宋体" w:hAnsi="宋体" w:cs="宋体"/>
              </w:rPr>
              <w:t>集成电路连接训练与分析功能模块</w:t>
            </w:r>
            <w:r>
              <w:rPr>
                <w:rFonts w:hint="eastAsia" w:ascii="宋体" w:hAnsi="宋体" w:cs="宋体"/>
              </w:rPr>
              <w:br w:type="textWrapping"/>
            </w:r>
            <w:r>
              <w:rPr>
                <w:rFonts w:hint="eastAsia" w:ascii="宋体" w:hAnsi="宋体" w:cs="宋体"/>
              </w:rPr>
              <w:t>在该功能模块上设置有电源、保险丝、开关、大灯、电阻、二极管、三极管、一定数量的集成控制模块等多种电子电气元件及电气符号，在该功能模块上可以完成以下几项训练任务：</w:t>
            </w:r>
            <w:r>
              <w:rPr>
                <w:rFonts w:hint="eastAsia" w:ascii="宋体" w:hAnsi="宋体" w:cs="宋体"/>
              </w:rPr>
              <w:br w:type="textWrapping"/>
            </w:r>
            <w:r>
              <w:rPr>
                <w:rFonts w:hint="eastAsia" w:ascii="宋体" w:hAnsi="宋体" w:cs="宋体"/>
              </w:rPr>
              <w:t>1）电气符号认识训练：在功能模块板上安装了多种电气、晶体管元件、集成电路模块以及电气、晶体管元件、集成电路模块符号图，既认识了电气、晶体管元件以及集成电路模块，又可认识电气、晶体管元件及集成电路模块的符号，便于后续汽车电路的读识；</w:t>
            </w:r>
            <w:r>
              <w:rPr>
                <w:rFonts w:hint="eastAsia" w:ascii="宋体" w:hAnsi="宋体" w:cs="宋体"/>
              </w:rPr>
              <w:br w:type="textWrapping"/>
            </w:r>
            <w:r>
              <w:rPr>
                <w:rFonts w:hint="eastAsia" w:ascii="宋体" w:hAnsi="宋体" w:cs="宋体"/>
              </w:rPr>
              <w:t>2）线路连接训练：教师给出多副基本线路连接训练电路图，学生根据电路图在功能模块板上进行接线训练，并且可以打开或关闭功能模块板上的开关，判别接线是否正确，通过该项目的训练，可以达到训练带有集成电路模块的控制电路分析能力的目的；</w:t>
            </w:r>
            <w:r>
              <w:rPr>
                <w:rFonts w:hint="eastAsia" w:ascii="宋体" w:hAnsi="宋体" w:cs="宋体"/>
              </w:rPr>
              <w:br w:type="textWrapping"/>
            </w:r>
            <w:r>
              <w:rPr>
                <w:rFonts w:hint="eastAsia" w:ascii="宋体" w:hAnsi="宋体" w:cs="宋体"/>
              </w:rPr>
              <w:t>3）电路测量训练：可以用万用表测量已连接好的线路上各测量点上的电位以及各段电路上的电流大小，并且根据测量数据进行简单计算分析，利用万用表的检测和判别集成模块的输入输出功能以及运放功能，领用示波器检测集成模块的波形，另外，通过该项目训练，可以起到常见汽车电工电子设备、仪器仪表的正确使用的目的；</w:t>
            </w:r>
            <w:r>
              <w:rPr>
                <w:rFonts w:hint="eastAsia" w:ascii="宋体" w:hAnsi="宋体" w:cs="宋体"/>
              </w:rPr>
              <w:br w:type="textWrapping"/>
            </w:r>
            <w:r>
              <w:rPr>
                <w:rFonts w:hint="eastAsia" w:ascii="宋体" w:hAnsi="宋体" w:cs="宋体"/>
              </w:rPr>
              <w:t>4）故障诊断与分析训练：通过在功能模块上设置一定数量的故障，遵循“故障现象→主要原因→具体原因”的分析原则，进行故障原因分析，达到提升带有集成控制的电路分析能力；</w:t>
            </w:r>
            <w:r>
              <w:rPr>
                <w:rFonts w:hint="eastAsia" w:ascii="宋体" w:hAnsi="宋体" w:cs="宋体"/>
              </w:rPr>
              <w:br w:type="textWrapping"/>
            </w:r>
            <w:r>
              <w:rPr>
                <w:rFonts w:hint="eastAsia" w:ascii="宋体" w:hAnsi="宋体" w:cs="宋体"/>
              </w:rPr>
              <w:t>5）电路绘制训练：在功能模块上事先用导线连接实物线路，然后让学生根据实物线路进行绘制电路图，提升绘图能力以及电气元件和集成电子元件符号的认识能力。</w:t>
            </w:r>
            <w:r>
              <w:rPr>
                <w:rFonts w:hint="eastAsia" w:ascii="宋体" w:hAnsi="宋体" w:cs="宋体"/>
              </w:rPr>
              <w:br w:type="textWrapping"/>
            </w:r>
            <w:r>
              <w:rPr>
                <w:rFonts w:hint="eastAsia" w:ascii="宋体" w:hAnsi="宋体" w:cs="宋体"/>
              </w:rPr>
              <w:t>5、配备智能化故障设置和系统</w:t>
            </w:r>
            <w:r>
              <w:rPr>
                <w:rFonts w:hint="eastAsia" w:ascii="宋体" w:hAnsi="宋体" w:cs="宋体"/>
              </w:rPr>
              <w:br w:type="textWrapping"/>
            </w:r>
            <w:r>
              <w:rPr>
                <w:rFonts w:hint="eastAsia" w:ascii="宋体" w:hAnsi="宋体" w:cs="宋体"/>
              </w:rPr>
              <w:t>智能化故障设置为汽车类培训装备而开发的一款训练用的产品，包括智能化故障设置系统和学习实训系统两大系统，主要有以下功能：</w:t>
            </w:r>
            <w:r>
              <w:rPr>
                <w:rFonts w:hint="eastAsia" w:ascii="宋体" w:hAnsi="宋体" w:cs="宋体"/>
              </w:rPr>
              <w:br w:type="textWrapping"/>
            </w:r>
            <w:r>
              <w:rPr>
                <w:rFonts w:hint="eastAsia" w:ascii="宋体" w:hAnsi="宋体" w:cs="宋体"/>
              </w:rPr>
              <w:t>智能故障设置系统主要分练习、考核、管理三大模块</w:t>
            </w:r>
            <w:r>
              <w:rPr>
                <w:rFonts w:hint="eastAsia" w:ascii="宋体" w:hAnsi="宋体" w:cs="宋体"/>
              </w:rPr>
              <w:br w:type="textWrapping"/>
            </w:r>
            <w:r>
              <w:rPr>
                <w:rFonts w:hint="eastAsia" w:ascii="宋体" w:hAnsi="宋体" w:cs="宋体"/>
              </w:rPr>
              <w:t>5.1、练习模式功能分自由练习和练习</w:t>
            </w:r>
            <w:r>
              <w:rPr>
                <w:rFonts w:hint="eastAsia" w:ascii="宋体" w:hAnsi="宋体" w:cs="宋体"/>
              </w:rPr>
              <w:br w:type="textWrapping"/>
            </w:r>
            <w:r>
              <w:rPr>
                <w:rFonts w:hint="eastAsia" w:ascii="宋体" w:hAnsi="宋体" w:cs="宋体"/>
              </w:rPr>
              <w:t>5.1.1、自由练习功能：训练者通过自己设置故障，故障设置中如出现故障K1、K2、E1等故障代码，可以自由选择设置，并且可以选择元件。自己进行故障排除，故障排出后可以立刻输出训练成绩；</w:t>
            </w:r>
            <w:r>
              <w:rPr>
                <w:rFonts w:hint="eastAsia" w:ascii="宋体" w:hAnsi="宋体" w:cs="宋体"/>
              </w:rPr>
              <w:br w:type="textWrapping"/>
            </w:r>
            <w:r>
              <w:rPr>
                <w:rFonts w:hint="eastAsia" w:ascii="宋体" w:hAnsi="宋体" w:cs="宋体"/>
              </w:rPr>
              <w:t>5.1.2、自由功能：甲学生设置故障不低于5个基础故障，故障设置中出现故障K1、K2、E1等故障代码，可以自由选择设置。乙学生进行故障排除查找故障，找出故障以后交卷，故障排出后可以立刻输出训练成绩，增强训练效果；会显示故障点数、错误次数、分数、正确故障、错误故障、正确排除个数、考试用时。</w:t>
            </w:r>
            <w:r>
              <w:rPr>
                <w:rFonts w:hint="eastAsia" w:ascii="宋体" w:hAnsi="宋体" w:cs="宋体"/>
              </w:rPr>
              <w:br w:type="textWrapping"/>
            </w:r>
            <w:r>
              <w:rPr>
                <w:rFonts w:hint="eastAsia" w:ascii="宋体" w:hAnsi="宋体" w:cs="宋体"/>
              </w:rPr>
              <w:t>5.2、模式功能</w:t>
            </w:r>
            <w:r>
              <w:rPr>
                <w:rFonts w:hint="eastAsia" w:ascii="宋体" w:hAnsi="宋体" w:cs="宋体"/>
              </w:rPr>
              <w:br w:type="textWrapping"/>
            </w:r>
            <w:r>
              <w:rPr>
                <w:rFonts w:hint="eastAsia" w:ascii="宋体" w:hAnsi="宋体" w:cs="宋体"/>
              </w:rPr>
              <w:t>5.2.1、功能：教师设置故障，学生输入学号以后进行，最终测试学生训练效果；</w:t>
            </w:r>
            <w:r>
              <w:rPr>
                <w:rFonts w:hint="eastAsia" w:ascii="宋体" w:hAnsi="宋体" w:cs="宋体"/>
              </w:rPr>
              <w:br w:type="textWrapping"/>
            </w:r>
            <w:r>
              <w:rPr>
                <w:rFonts w:hint="eastAsia" w:ascii="宋体" w:hAnsi="宋体" w:cs="宋体"/>
              </w:rPr>
              <w:t>5.2.2、故障查询：查询学生成绩；</w:t>
            </w:r>
            <w:r>
              <w:rPr>
                <w:rFonts w:hint="eastAsia" w:ascii="宋体" w:hAnsi="宋体" w:cs="宋体"/>
              </w:rPr>
              <w:br w:type="textWrapping"/>
            </w:r>
            <w:r>
              <w:rPr>
                <w:rFonts w:hint="eastAsia" w:ascii="宋体" w:hAnsi="宋体" w:cs="宋体"/>
              </w:rPr>
              <w:t>5.2.3、老师可以将题库内题目，通过手机或平板无线随机发送给学生，也可以指 定题目针对某一学生发送</w:t>
            </w:r>
            <w:r>
              <w:rPr>
                <w:rFonts w:hint="eastAsia" w:ascii="宋体" w:hAnsi="宋体" w:cs="宋体"/>
              </w:rPr>
              <w:br w:type="textWrapping"/>
            </w:r>
            <w:r>
              <w:rPr>
                <w:rFonts w:hint="eastAsia" w:ascii="宋体" w:hAnsi="宋体" w:cs="宋体"/>
              </w:rPr>
              <w:t>5.2.4、学生在考试结束后，可随时提交试卷，老师通过手机或平板接收试卷，并获得成绩；</w:t>
            </w:r>
            <w:r>
              <w:rPr>
                <w:rFonts w:hint="eastAsia" w:ascii="宋体" w:hAnsi="宋体" w:cs="宋体"/>
              </w:rPr>
              <w:br w:type="textWrapping"/>
            </w:r>
            <w:r>
              <w:rPr>
                <w:rFonts w:hint="eastAsia" w:ascii="宋体" w:hAnsi="宋体" w:cs="宋体"/>
              </w:rPr>
              <w:t>5.3、管理系统，系统有密码保护，主要分清除故障、设置故障、故障测试、试卷管理、设备管理、触屏校准、故障对照表、正式、升级。</w:t>
            </w:r>
            <w:r>
              <w:rPr>
                <w:rFonts w:hint="eastAsia" w:ascii="宋体" w:hAnsi="宋体" w:cs="宋体"/>
              </w:rPr>
              <w:br w:type="textWrapping"/>
            </w:r>
            <w:r>
              <w:rPr>
                <w:rFonts w:hint="eastAsia" w:ascii="宋体" w:hAnsi="宋体" w:cs="宋体"/>
              </w:rPr>
              <w:t>5.4、清除故障：主要清楚实验设备设置的故障清除。</w:t>
            </w:r>
            <w:r>
              <w:rPr>
                <w:rFonts w:hint="eastAsia" w:ascii="宋体" w:hAnsi="宋体" w:cs="宋体"/>
              </w:rPr>
              <w:br w:type="textWrapping"/>
            </w:r>
            <w:r>
              <w:rPr>
                <w:rFonts w:hint="eastAsia" w:ascii="宋体" w:hAnsi="宋体" w:cs="宋体"/>
              </w:rPr>
              <w:t>5.5、设置故障：可以显示全部故障代码，进行故障设置。</w:t>
            </w:r>
            <w:r>
              <w:rPr>
                <w:rFonts w:hint="eastAsia" w:ascii="宋体" w:hAnsi="宋体" w:cs="宋体"/>
              </w:rPr>
              <w:br w:type="textWrapping"/>
            </w:r>
            <w:r>
              <w:rPr>
                <w:rFonts w:hint="eastAsia" w:ascii="宋体" w:hAnsi="宋体" w:cs="宋体"/>
              </w:rPr>
              <w:t>5.6、故障测试：可以针对全部故障代码进行故障测试，测试是否有损坏。</w:t>
            </w:r>
            <w:r>
              <w:rPr>
                <w:rFonts w:hint="eastAsia" w:ascii="宋体" w:hAnsi="宋体" w:cs="宋体"/>
              </w:rPr>
              <w:br w:type="textWrapping"/>
            </w:r>
            <w:r>
              <w:rPr>
                <w:rFonts w:hint="eastAsia" w:ascii="宋体" w:hAnsi="宋体" w:cs="宋体"/>
              </w:rPr>
              <w:t>5.7、试卷管理：主要分规则和考生试卷。规则功能主要有</w:t>
            </w:r>
            <w:r>
              <w:rPr>
                <w:rFonts w:hint="eastAsia" w:ascii="宋体" w:hAnsi="宋体" w:cs="宋体"/>
              </w:rPr>
              <w:br w:type="textWrapping"/>
            </w:r>
            <w:r>
              <w:rPr>
                <w:rFonts w:hint="eastAsia" w:ascii="宋体" w:hAnsi="宋体" w:cs="宋体"/>
              </w:rPr>
              <w:t>（1）自动设故和手动设故选择；（2）自动评分和手动评分的选择；（3）故障点数的设置；（4）时间的设置，可设置积分几秒；（5）每错一次扣除分数的数值；（6）扣分时限的分值；（7）每分钟扣除分数的分值。</w:t>
            </w:r>
            <w:r>
              <w:rPr>
                <w:rFonts w:hint="eastAsia" w:ascii="宋体" w:hAnsi="宋体" w:cs="宋体"/>
              </w:rPr>
              <w:br w:type="textWrapping"/>
            </w:r>
            <w:r>
              <w:rPr>
                <w:rFonts w:hint="eastAsia" w:ascii="宋体" w:hAnsi="宋体" w:cs="宋体"/>
              </w:rPr>
              <w:t>5.8、触摸校准:针对触摸显示屏的五点校准</w:t>
            </w:r>
            <w:r>
              <w:rPr>
                <w:rFonts w:hint="eastAsia" w:ascii="宋体" w:hAnsi="宋体" w:cs="宋体"/>
              </w:rPr>
              <w:br w:type="textWrapping"/>
            </w:r>
            <w:r>
              <w:rPr>
                <w:rFonts w:hint="eastAsia" w:ascii="宋体" w:hAnsi="宋体" w:cs="宋体"/>
              </w:rPr>
              <w:t>5.9、故障对照表：显示全部的故障进行对照：那个是1号故障那个2号故障等。</w:t>
            </w:r>
            <w:r>
              <w:rPr>
                <w:rFonts w:hint="eastAsia" w:ascii="宋体" w:hAnsi="宋体" w:cs="宋体"/>
              </w:rPr>
              <w:br w:type="textWrapping"/>
            </w:r>
            <w:r>
              <w:rPr>
                <w:rFonts w:hint="eastAsia" w:ascii="宋体" w:hAnsi="宋体" w:cs="宋体"/>
              </w:rPr>
              <w:t>5.10、正式：进入后显示全部故障代码，选择后可进行元件选择，选择后可以设置考试时间，进入后可以选择开始，倒计时开始倒计时间。</w:t>
            </w:r>
            <w:r>
              <w:rPr>
                <w:rFonts w:hint="eastAsia" w:ascii="宋体" w:hAnsi="宋体" w:cs="宋体"/>
              </w:rPr>
              <w:br w:type="textWrapping"/>
            </w:r>
            <w:r>
              <w:rPr>
                <w:rFonts w:hint="eastAsia" w:ascii="宋体" w:hAnsi="宋体" w:cs="宋体"/>
              </w:rPr>
              <w:t>5.11、升级：升级主要针对教学平台升级和元件库的升级。</w:t>
            </w:r>
            <w:r>
              <w:rPr>
                <w:rFonts w:hint="eastAsia" w:ascii="宋体" w:hAnsi="宋体" w:cs="宋体"/>
              </w:rPr>
              <w:br w:type="textWrapping"/>
            </w:r>
            <w:r>
              <w:rPr>
                <w:rFonts w:hint="eastAsia" w:ascii="宋体" w:hAnsi="宋体" w:cs="宋体"/>
              </w:rPr>
              <w:t xml:space="preserve">4、主要由电源总开关、电源指示、总电源保险丝、内置一个开关直流稳压电源组成，为实训装置提供电源，有输出电压指示和过流过载保护功能。  </w:t>
            </w:r>
            <w:r>
              <w:rPr>
                <w:rFonts w:hint="eastAsia" w:ascii="宋体" w:hAnsi="宋体" w:cs="宋体"/>
              </w:rPr>
              <w:br w:type="textWrapping"/>
            </w:r>
            <w:r>
              <w:rPr>
                <w:rFonts w:hint="eastAsia" w:ascii="宋体" w:hAnsi="宋体" w:cs="宋体"/>
              </w:rPr>
              <w:t>5、使学生的专业知识和操作技能（理论与实践）紧密结合，从而提高学生的综合分析判断能力和调试维修技术水平。</w:t>
            </w:r>
            <w:r>
              <w:rPr>
                <w:rFonts w:hint="eastAsia" w:ascii="宋体" w:hAnsi="宋体" w:cs="宋体"/>
              </w:rPr>
              <w:br w:type="textWrapping"/>
            </w:r>
            <w:r>
              <w:rPr>
                <w:rFonts w:hint="eastAsia" w:ascii="宋体" w:hAnsi="宋体" w:cs="宋体"/>
              </w:rPr>
              <w:t>6、系统采用STM32、实时时钟。系统配有大屏幕彩色高清智能触摸屏、R232通信接口、以太网通信接口、可插拔的无线通信模块，可以实现与台架无线组网连接，根据实训台故障现象进行故障检测和故障确认，并能进行老师和学生进行互动教学及实训教学工作过程，数据库记录档案以备下次查找相同案例，不同管理模式进行情况、自动完成评分等功能。</w:t>
            </w:r>
            <w:r>
              <w:rPr>
                <w:rFonts w:hint="eastAsia" w:ascii="宋体" w:hAnsi="宋体" w:cs="宋体"/>
              </w:rPr>
              <w:br w:type="textWrapping"/>
            </w:r>
            <w:r>
              <w:rPr>
                <w:rFonts w:hint="eastAsia" w:ascii="宋体" w:hAnsi="宋体" w:cs="宋体"/>
              </w:rPr>
              <w:t>7、实训室全部实训设备可以通过无线联系形成一个网络，进行无线，教师可以通过平板平台的汽车智能一体化教学资源APP平台进行指 定随机给实训室内任意一台设备进行联网设置发题，也可以进行收题，进行，全自动得出学生分数，也可以给整个实训室每台随机发题，收题，评分。</w:t>
            </w:r>
            <w:r>
              <w:rPr>
                <w:rFonts w:hint="eastAsia" w:ascii="宋体" w:hAnsi="宋体" w:cs="宋体"/>
              </w:rPr>
              <w:br w:type="textWrapping"/>
            </w:r>
            <w:r>
              <w:rPr>
                <w:rFonts w:hint="eastAsia" w:ascii="宋体" w:hAnsi="宋体" w:cs="宋体"/>
              </w:rPr>
              <w:t>8、电源：采用双电源制度，输入220V，输出电压分别为DC12V和DC12V两种：</w:t>
            </w:r>
            <w:r>
              <w:rPr>
                <w:rFonts w:hint="eastAsia" w:ascii="宋体" w:hAnsi="宋体" w:cs="宋体"/>
              </w:rPr>
              <w:br w:type="textWrapping"/>
            </w:r>
            <w:r>
              <w:rPr>
                <w:rFonts w:hint="eastAsia" w:ascii="宋体" w:hAnsi="宋体" w:cs="宋体"/>
              </w:rPr>
              <w:t>1）DC12V3A：主要用于控制系统以及触摸屏等；</w:t>
            </w:r>
            <w:r>
              <w:rPr>
                <w:rFonts w:hint="eastAsia" w:ascii="宋体" w:hAnsi="宋体" w:cs="宋体"/>
              </w:rPr>
              <w:br w:type="textWrapping"/>
            </w:r>
            <w:r>
              <w:rPr>
                <w:rFonts w:hint="eastAsia" w:ascii="宋体" w:hAnsi="宋体" w:cs="宋体"/>
              </w:rPr>
              <w:t>2）DC12V5A：主要用于操作面板，与汽车保持相同的电压，并且可以模拟9V到14V之间。</w:t>
            </w:r>
            <w:r>
              <w:rPr>
                <w:rFonts w:hint="eastAsia" w:ascii="宋体" w:hAnsi="宋体" w:cs="宋体"/>
              </w:rPr>
              <w:br w:type="textWrapping"/>
            </w:r>
            <w:r>
              <w:rPr>
                <w:rFonts w:hint="eastAsia" w:ascii="宋体" w:hAnsi="宋体" w:cs="宋体"/>
              </w:rPr>
              <w:t>2、故障设置类型：</w:t>
            </w:r>
            <w:r>
              <w:rPr>
                <w:rFonts w:hint="eastAsia" w:ascii="宋体" w:hAnsi="宋体" w:cs="宋体"/>
              </w:rPr>
              <w:br w:type="textWrapping"/>
            </w:r>
            <w:r>
              <w:rPr>
                <w:rFonts w:hint="eastAsia" w:ascii="宋体" w:hAnsi="宋体" w:cs="宋体"/>
              </w:rPr>
              <w:t>1）开路故障：24个；</w:t>
            </w:r>
            <w:r>
              <w:rPr>
                <w:rFonts w:hint="eastAsia" w:ascii="宋体" w:hAnsi="宋体" w:cs="宋体"/>
              </w:rPr>
              <w:br w:type="textWrapping"/>
            </w:r>
            <w:r>
              <w:rPr>
                <w:rFonts w:hint="eastAsia" w:ascii="宋体" w:hAnsi="宋体" w:cs="宋体"/>
              </w:rPr>
              <w:t>2）短路故障：16个</w:t>
            </w:r>
            <w:r>
              <w:rPr>
                <w:rFonts w:hint="eastAsia" w:ascii="宋体" w:hAnsi="宋体" w:cs="宋体"/>
              </w:rPr>
              <w:br w:type="textWrapping"/>
            </w:r>
            <w:r>
              <w:rPr>
                <w:rFonts w:hint="eastAsia" w:ascii="宋体" w:hAnsi="宋体" w:cs="宋体"/>
              </w:rPr>
              <w:t>2、触摸屏：4.7寸彩色电容屏</w:t>
            </w:r>
            <w:r>
              <w:rPr>
                <w:rFonts w:hint="eastAsia" w:ascii="宋体" w:hAnsi="宋体" w:cs="宋体"/>
              </w:rPr>
              <w:br w:type="textWrapping"/>
            </w:r>
            <w:r>
              <w:rPr>
                <w:rFonts w:hint="eastAsia" w:ascii="宋体" w:hAnsi="宋体" w:cs="宋体"/>
              </w:rPr>
              <w:t>3、设备使用环境</w:t>
            </w:r>
            <w:r>
              <w:rPr>
                <w:rFonts w:hint="eastAsia" w:ascii="宋体" w:hAnsi="宋体" w:cs="宋体"/>
              </w:rPr>
              <w:br w:type="textWrapping"/>
            </w:r>
            <w:r>
              <w:rPr>
                <w:rFonts w:hint="eastAsia" w:ascii="宋体" w:hAnsi="宋体" w:cs="宋体"/>
              </w:rPr>
              <w:t>1）环境温度：-10℃～60℃</w:t>
            </w:r>
            <w:r>
              <w:rPr>
                <w:rFonts w:hint="eastAsia" w:ascii="宋体" w:hAnsi="宋体" w:cs="宋体"/>
              </w:rPr>
              <w:br w:type="textWrapping"/>
            </w:r>
            <w:r>
              <w:rPr>
                <w:rFonts w:hint="eastAsia" w:ascii="宋体" w:hAnsi="宋体" w:cs="宋体"/>
              </w:rPr>
              <w:t>2）环境湿度：小于90%HR</w:t>
            </w:r>
            <w:r>
              <w:rPr>
                <w:rFonts w:hint="eastAsia" w:ascii="宋体" w:hAnsi="宋体" w:cs="宋体"/>
              </w:rPr>
              <w:br w:type="textWrapping"/>
            </w:r>
            <w:r>
              <w:rPr>
                <w:rFonts w:hint="eastAsia" w:ascii="宋体" w:hAnsi="宋体" w:cs="宋体"/>
              </w:rPr>
              <w:t>三、工艺要求：</w:t>
            </w:r>
            <w:r>
              <w:rPr>
                <w:rFonts w:hint="eastAsia" w:ascii="宋体" w:hAnsi="宋体" w:cs="宋体"/>
              </w:rPr>
              <w:br w:type="textWrapping"/>
            </w:r>
            <w:r>
              <w:rPr>
                <w:rFonts w:hint="eastAsia" w:ascii="宋体" w:hAnsi="宋体" w:cs="宋体"/>
              </w:rPr>
              <w:t>工艺要求：汽车电子电器实验箱采用双层箱体式，外观由铝合框架+密度板设计而成，检测面板采用7075铝合金材料，激光一体成型，表面采用高温喷塑工艺+UV固化工艺表面印刷电器符号，采用3mm安全型检测端子，检测端子连接处采用PCB板材，PCB板应采用一体化电路板设计，采用机械贴片焊接，设备采用电弧灭弧保护电路与多重安全保护，内置一体化不少于2层PCB无铅环保电路整体封装，PCB板电路封装达到车规级技术标准，PCB板内部采用2盎司铜箔布线，耐流等级为10A。使检检测端子牢牢固定在线路板上，避免端子松动，接触不良带来的故障分析问题，设有易损件快换区，发现损坏更轻松进行更好电阻、电容等零部件。</w:t>
            </w:r>
            <w:r>
              <w:rPr>
                <w:rFonts w:hint="eastAsia" w:ascii="宋体" w:hAnsi="宋体" w:cs="宋体"/>
              </w:rPr>
              <w:br w:type="textWrapping"/>
            </w:r>
            <w:r>
              <w:rPr>
                <w:rFonts w:hint="eastAsia" w:ascii="宋体" w:hAnsi="宋体" w:cs="宋体"/>
              </w:rPr>
              <w:t>四、备品备件：</w:t>
            </w:r>
            <w:r>
              <w:rPr>
                <w:rFonts w:hint="eastAsia" w:ascii="宋体" w:hAnsi="宋体" w:cs="宋体"/>
              </w:rPr>
              <w:br w:type="textWrapping"/>
            </w:r>
            <w:r>
              <w:rPr>
                <w:rFonts w:hint="eastAsia" w:ascii="宋体" w:hAnsi="宋体" w:cs="宋体"/>
              </w:rPr>
              <w:t>每台设备配套一台汽车专用万用表、4只12V5w灯泡、2个四脚继电器、2个五脚继电器、3*0.75²电线1.5米、红黑绿导线共计30条、含故障线。</w:t>
            </w:r>
            <w:r>
              <w:rPr>
                <w:rFonts w:hint="eastAsia" w:ascii="宋体" w:hAnsi="宋体" w:cs="宋体"/>
              </w:rPr>
              <w:br w:type="textWrapping"/>
            </w:r>
            <w:r>
              <w:rPr>
                <w:rFonts w:hint="eastAsia" w:ascii="宋体" w:hAnsi="宋体" w:cs="宋体"/>
              </w:rPr>
              <w:t>五、虚拟测量界面系统（汽车电子电器实训仿真教学平台）</w:t>
            </w:r>
            <w:r>
              <w:rPr>
                <w:rFonts w:hint="eastAsia" w:ascii="宋体" w:hAnsi="宋体" w:cs="宋体"/>
              </w:rPr>
              <w:br w:type="textWrapping"/>
            </w:r>
            <w:r>
              <w:rPr>
                <w:rFonts w:hint="eastAsia" w:ascii="宋体" w:hAnsi="宋体" w:cs="宋体"/>
              </w:rPr>
              <w:t>1.常用工具：试电笔、螺丝刀、钢丝钳、电烙铁等等。</w:t>
            </w:r>
            <w:r>
              <w:rPr>
                <w:rFonts w:hint="eastAsia" w:ascii="宋体" w:hAnsi="宋体" w:cs="宋体"/>
              </w:rPr>
              <w:br w:type="textWrapping"/>
            </w:r>
            <w:r>
              <w:rPr>
                <w:rFonts w:hint="eastAsia" w:ascii="宋体" w:hAnsi="宋体" w:cs="宋体"/>
              </w:rPr>
              <w:t>2.课程包括导线连接焊接工艺：焊接工具、焊接过程、焊接质量、拆焊过程等。</w:t>
            </w:r>
            <w:r>
              <w:rPr>
                <w:rFonts w:hint="eastAsia" w:ascii="宋体" w:hAnsi="宋体" w:cs="宋体"/>
              </w:rPr>
              <w:br w:type="textWrapping"/>
            </w:r>
            <w:r>
              <w:rPr>
                <w:rFonts w:hint="eastAsia" w:ascii="宋体" w:hAnsi="宋体" w:cs="宋体"/>
              </w:rPr>
              <w:t>3.课程包括安全用电常识：触电方式、防护措施、接地接零、急救措施及人工急救</w:t>
            </w:r>
            <w:r>
              <w:rPr>
                <w:rFonts w:hint="eastAsia" w:ascii="宋体" w:hAnsi="宋体" w:cs="宋体"/>
              </w:rPr>
              <w:br w:type="textWrapping"/>
            </w:r>
            <w:r>
              <w:rPr>
                <w:rFonts w:hint="eastAsia" w:ascii="宋体" w:hAnsi="宋体" w:cs="宋体"/>
              </w:rPr>
              <w:t>4.课程包括仪表：万用表、电能表、钳形电流表、兆欧表、直流电桥、配电板等。</w:t>
            </w:r>
            <w:r>
              <w:rPr>
                <w:rFonts w:hint="eastAsia" w:ascii="宋体" w:hAnsi="宋体" w:cs="宋体"/>
              </w:rPr>
              <w:br w:type="textWrapping"/>
            </w:r>
            <w:r>
              <w:rPr>
                <w:rFonts w:hint="eastAsia" w:ascii="宋体" w:hAnsi="宋体" w:cs="宋体"/>
              </w:rPr>
              <w:t>5．照明电路：荧光灯、两地控制灯。</w:t>
            </w:r>
            <w:r>
              <w:rPr>
                <w:rFonts w:hint="eastAsia" w:ascii="宋体" w:hAnsi="宋体" w:cs="宋体"/>
              </w:rPr>
              <w:br w:type="textWrapping"/>
            </w:r>
            <w:r>
              <w:rPr>
                <w:rFonts w:hint="eastAsia" w:ascii="宋体" w:hAnsi="宋体" w:cs="宋体"/>
              </w:rPr>
              <w:t>6.电机与变压器：三相异步电动机、单相异步电动机、伺服电机、步进电机、直流电机、变压器等。</w:t>
            </w:r>
            <w:r>
              <w:rPr>
                <w:rFonts w:hint="eastAsia" w:ascii="宋体" w:hAnsi="宋体" w:cs="宋体"/>
              </w:rPr>
              <w:br w:type="textWrapping"/>
            </w:r>
            <w:r>
              <w:rPr>
                <w:rFonts w:hint="eastAsia" w:ascii="宋体" w:hAnsi="宋体" w:cs="宋体"/>
              </w:rPr>
              <w:t>7．低压电器：交流接触器、继电器、常用闸刀开关、低压断路器、熔断器、起动器、主令电器。教学平台电机控制电路：有过载保护运转控制、联动控制、行程控制、自耦降压启动、接触器Y-△起动、时间继电器Y-△起动、机械制动、反接制动、能耗制动、双速调速、电动葫芦、绕线式电动机起动控制、车床控制、磨床控制、钻床控制、直流调速、直流制动、直流正反转。包括元件介绍、电路原理语音视频讲解、仿真实训配盘接线、仿真运行、模拟、设置故障、查找排除故障、并附有答案和操作提示。教学平台汽车电路电工识图：电工图形、符号、原理图、接线图的绘制原则和分析方法，带实训题和答案及操作提示等。可满足学生对电气元件符号标准了解、电气控制原理图的绘制、仿真、模拟，电气系统分析，并且能够通过电气原理图辅助自动生成接线图。教学平台10. 汽车电路电气绘图：包含一款电路图绘制仿真教学平台，是模拟电路的仿真教学平台，可以打开CAD格式的电路图并构建新的电气图。有丰富的工具栏，可以显示电源保险丝，隔离开关，接触器开关和电机电气部件。显示触点开关按钮，电子原件和接触器线边缘等工具，提供各种常用的电路元件符号，用户可以直接调用，帮助用户轻松绘制电路图，并可以模拟操作，支持单步模拟。</w:t>
            </w:r>
            <w:r>
              <w:rPr>
                <w:rFonts w:hint="eastAsia" w:ascii="宋体" w:hAnsi="宋体" w:cs="宋体"/>
              </w:rPr>
              <w:br w:type="textWrapping"/>
            </w:r>
            <w:r>
              <w:rPr>
                <w:rFonts w:hint="eastAsia" w:ascii="宋体" w:hAnsi="宋体" w:cs="宋体"/>
              </w:rPr>
              <w:t>六、配套交互式多媒体教学平台（汽车电子电器课程资源）</w:t>
            </w:r>
            <w:r>
              <w:rPr>
                <w:rFonts w:hint="eastAsia" w:ascii="宋体" w:hAnsi="宋体" w:cs="宋体"/>
              </w:rPr>
              <w:br w:type="textWrapping"/>
            </w:r>
            <w:r>
              <w:rPr>
                <w:rFonts w:hint="eastAsia" w:ascii="宋体" w:hAnsi="宋体" w:cs="宋体"/>
              </w:rPr>
              <w:t>学习方法：</w:t>
            </w:r>
            <w:r>
              <w:rPr>
                <w:rFonts w:hint="eastAsia" w:ascii="宋体" w:hAnsi="宋体" w:cs="宋体"/>
              </w:rPr>
              <w:br w:type="textWrapping"/>
            </w:r>
            <w:r>
              <w:rPr>
                <w:rFonts w:hint="eastAsia" w:ascii="宋体" w:hAnsi="宋体" w:cs="宋体"/>
              </w:rPr>
              <w:t>1、课程内容以翻转课堂的模块化课程制作方式为指导，系统性的进行碎片化处理，课程目录下含有原理结构微图文，作业指导微视频，教学重难点微等相关信息。</w:t>
            </w:r>
            <w:r>
              <w:rPr>
                <w:rFonts w:hint="eastAsia" w:ascii="宋体" w:hAnsi="宋体" w:cs="宋体"/>
              </w:rPr>
              <w:br w:type="textWrapping"/>
            </w:r>
            <w:r>
              <w:rPr>
                <w:rFonts w:hint="eastAsia" w:ascii="宋体" w:hAnsi="宋体" w:cs="宋体"/>
              </w:rPr>
              <w:t>2、在鼓励学员通过移动教学终端进行随时、随地、随需的碎片化学习的基础上，也极大的降低了的教师部分低附加值的重复劳动，并快速、准确的呈现出教学过程中的数据。</w:t>
            </w:r>
            <w:r>
              <w:rPr>
                <w:rFonts w:hint="eastAsia" w:ascii="宋体" w:hAnsi="宋体" w:cs="宋体"/>
              </w:rPr>
              <w:br w:type="textWrapping"/>
            </w:r>
            <w:r>
              <w:rPr>
                <w:rFonts w:hint="eastAsia" w:ascii="宋体" w:hAnsi="宋体" w:cs="宋体"/>
              </w:rPr>
              <w:t>3、二维码系统学习法：配合一体化学生实训二维码工作页进行自主式学习，学员在每一步实训过程中扫描工作页及设备面板上的二维码即可得到所需要的实训微课程，任务明确，目标清晰，保障了学习质量。</w:t>
            </w:r>
            <w:r>
              <w:rPr>
                <w:rFonts w:hint="eastAsia" w:ascii="宋体" w:hAnsi="宋体" w:cs="宋体"/>
              </w:rPr>
              <w:br w:type="textWrapping"/>
            </w:r>
            <w:r>
              <w:rPr>
                <w:rFonts w:hint="eastAsia" w:ascii="宋体" w:hAnsi="宋体" w:cs="宋体"/>
              </w:rPr>
              <w:t xml:space="preserve">4、系统目录，必须包含不少于三级菜单，一级菜单为车型学习选择主菜单，二级菜单为学习项目子菜单，三级菜单为学习任务子菜单，学习任务子菜单根据学习难易程度进行星标注明。 </w:t>
            </w:r>
            <w:r>
              <w:rPr>
                <w:rFonts w:hint="eastAsia" w:ascii="宋体" w:hAnsi="宋体" w:cs="宋体"/>
              </w:rPr>
              <w:br w:type="textWrapping"/>
            </w:r>
            <w:r>
              <w:rPr>
                <w:rFonts w:hint="eastAsia" w:ascii="宋体" w:hAnsi="宋体" w:cs="宋体"/>
              </w:rPr>
              <w:t>5、与一体化学生工作页目录相同的课程任务学习菜单以及微课程内容，每一个学习任务子菜单中均包含维修项目的原理结构图文信息，视频教学场景与一体化教具以及一体化工量具及耗材环境配套完全一致，完整地呈现教中学、学中做的理实一体化教学内容。每一个微课程均具有离线下载、点赞、纠错功能。</w:t>
            </w:r>
            <w:r>
              <w:rPr>
                <w:rFonts w:hint="eastAsia" w:ascii="宋体" w:hAnsi="宋体" w:cs="宋体"/>
              </w:rPr>
              <w:br w:type="textWrapping"/>
            </w:r>
            <w:r>
              <w:rPr>
                <w:rFonts w:hint="eastAsia" w:ascii="宋体" w:hAnsi="宋体" w:cs="宋体"/>
              </w:rPr>
              <w:t>6、老师可自制课程试题，试题具备单选、多选及智能提示功能，任意学员的答题成绩可查询。</w:t>
            </w:r>
            <w:r>
              <w:rPr>
                <w:rFonts w:hint="eastAsia" w:ascii="宋体" w:hAnsi="宋体" w:cs="宋体"/>
              </w:rPr>
              <w:br w:type="textWrapping"/>
            </w:r>
            <w:r>
              <w:rPr>
                <w:rFonts w:hint="eastAsia" w:ascii="宋体" w:hAnsi="宋体" w:cs="宋体"/>
              </w:rPr>
              <w:t>7、错题本功能，错题本可将学生的答题结果分别按照课程目录进行归类统计，同时可使用翻页功能进行实时的学习评价回顾。</w:t>
            </w:r>
            <w:r>
              <w:rPr>
                <w:rFonts w:hint="eastAsia" w:ascii="宋体" w:hAnsi="宋体" w:cs="宋体"/>
              </w:rPr>
              <w:br w:type="textWrapping"/>
            </w:r>
            <w:r>
              <w:rPr>
                <w:rFonts w:hint="eastAsia" w:ascii="宋体" w:hAnsi="宋体" w:cs="宋体"/>
              </w:rPr>
              <w:t>8、学习排行榜功能，课时完结后，系统根据学员的做题量以及做题标准程度进行大数据排行比较，学习个人信息进行数据比较。</w:t>
            </w:r>
            <w:r>
              <w:rPr>
                <w:rFonts w:hint="eastAsia" w:ascii="宋体" w:hAnsi="宋体" w:cs="宋体"/>
              </w:rPr>
              <w:br w:type="textWrapping"/>
            </w:r>
            <w:r>
              <w:rPr>
                <w:rFonts w:hint="eastAsia" w:ascii="宋体" w:hAnsi="宋体" w:cs="宋体"/>
              </w:rPr>
              <w:t>9、个人信息功能，为方便对学生个人信息进行实时的大数据管理，系统自带学员个人信息管理功能，在初次登陆系统时，学员可将个人信息录入至系统平台，包括昵称、性别、生日、校名、班级、通讯地址等详细信息，方便学校进行检索管理。</w:t>
            </w:r>
            <w:r>
              <w:rPr>
                <w:rFonts w:hint="eastAsia" w:ascii="宋体" w:hAnsi="宋体" w:cs="宋体"/>
              </w:rPr>
              <w:br w:type="textWrapping"/>
            </w:r>
            <w:r>
              <w:rPr>
                <w:rFonts w:hint="eastAsia" w:ascii="宋体" w:hAnsi="宋体" w:cs="宋体"/>
              </w:rPr>
              <w:t>10、APP移动应用内的在线客服功能，在线客服功能窗口与管理员可进行实时文字对话，具备文字输入窗口，系统管理员可将教学过程中的服务与教学指导进行实时传输对话。</w:t>
            </w:r>
            <w:r>
              <w:rPr>
                <w:rFonts w:hint="eastAsia" w:ascii="宋体" w:hAnsi="宋体" w:cs="宋体"/>
              </w:rPr>
              <w:br w:type="textWrapping"/>
            </w:r>
            <w:r>
              <w:rPr>
                <w:rFonts w:hint="eastAsia" w:ascii="宋体" w:hAnsi="宋体" w:cs="宋体"/>
              </w:rPr>
              <w:t>11、课程资源：</w:t>
            </w:r>
            <w:r>
              <w:rPr>
                <w:rFonts w:hint="eastAsia" w:ascii="宋体" w:hAnsi="宋体" w:cs="宋体"/>
              </w:rPr>
              <w:br w:type="textWrapping"/>
            </w:r>
            <w:r>
              <w:rPr>
                <w:rFonts w:hint="eastAsia" w:ascii="宋体" w:hAnsi="宋体" w:cs="宋体"/>
              </w:rPr>
              <w:t>1、配套汽车电子电器实训教材（130页）</w:t>
            </w:r>
            <w:r>
              <w:rPr>
                <w:rFonts w:hint="eastAsia" w:ascii="宋体" w:hAnsi="宋体" w:cs="宋体"/>
              </w:rPr>
              <w:br w:type="textWrapping"/>
            </w:r>
            <w:r>
              <w:rPr>
                <w:rFonts w:hint="eastAsia" w:ascii="宋体" w:hAnsi="宋体" w:cs="宋体"/>
              </w:rPr>
              <w:t>2、汽车电子电器实验箱的实训指导书</w:t>
            </w:r>
            <w:r>
              <w:rPr>
                <w:rFonts w:hint="eastAsia" w:ascii="宋体" w:hAnsi="宋体" w:cs="宋体"/>
              </w:rPr>
              <w:br w:type="textWrapping"/>
            </w:r>
            <w:r>
              <w:rPr>
                <w:rFonts w:hint="eastAsia" w:ascii="宋体" w:hAnsi="宋体" w:cs="宋体"/>
              </w:rPr>
              <w:t>3、汽车电子电器实验箱智能化故障设置系统实训指导书</w:t>
            </w:r>
            <w:r>
              <w:rPr>
                <w:rFonts w:hint="eastAsia" w:ascii="宋体" w:hAnsi="宋体" w:cs="宋体"/>
              </w:rPr>
              <w:br w:type="textWrapping"/>
            </w:r>
            <w:r>
              <w:rPr>
                <w:rFonts w:hint="eastAsia" w:ascii="宋体" w:hAnsi="宋体" w:cs="宋体"/>
              </w:rPr>
              <w:t>4、汽车电子电器实验箱教学资源动画和微课程配套</w:t>
            </w:r>
            <w:r>
              <w:rPr>
                <w:rFonts w:hint="eastAsia" w:ascii="宋体" w:hAnsi="宋体" w:cs="宋体"/>
              </w:rPr>
              <w:br w:type="textWrapping"/>
            </w:r>
            <w:r>
              <w:rPr>
                <w:rFonts w:hint="eastAsia" w:ascii="宋体" w:hAnsi="宋体" w:cs="宋体"/>
              </w:rPr>
              <w:t>项目一电路检修基础技能训练</w:t>
            </w:r>
            <w:r>
              <w:rPr>
                <w:rFonts w:hint="eastAsia" w:ascii="宋体" w:hAnsi="宋体" w:cs="宋体"/>
              </w:rPr>
              <w:br w:type="textWrapping"/>
            </w:r>
            <w:r>
              <w:rPr>
                <w:rFonts w:hint="eastAsia" w:ascii="宋体" w:hAnsi="宋体" w:cs="宋体"/>
              </w:rPr>
              <w:t>任务一数字万用表的使用</w:t>
            </w:r>
            <w:r>
              <w:rPr>
                <w:rFonts w:hint="eastAsia" w:ascii="宋体" w:hAnsi="宋体" w:cs="宋体"/>
              </w:rPr>
              <w:br w:type="textWrapping"/>
            </w:r>
            <w:r>
              <w:rPr>
                <w:rFonts w:hint="eastAsia" w:ascii="宋体" w:hAnsi="宋体" w:cs="宋体"/>
              </w:rPr>
              <w:t>任务二线路连接</w:t>
            </w:r>
            <w:r>
              <w:rPr>
                <w:rFonts w:hint="eastAsia" w:ascii="宋体" w:hAnsi="宋体" w:cs="宋体"/>
              </w:rPr>
              <w:br w:type="textWrapping"/>
            </w:r>
            <w:r>
              <w:rPr>
                <w:rFonts w:hint="eastAsia" w:ascii="宋体" w:hAnsi="宋体" w:cs="宋体"/>
              </w:rPr>
              <w:t>任务三线路焊接</w:t>
            </w:r>
            <w:r>
              <w:rPr>
                <w:rFonts w:hint="eastAsia" w:ascii="宋体" w:hAnsi="宋体" w:cs="宋体"/>
              </w:rPr>
              <w:br w:type="textWrapping"/>
            </w:r>
            <w:r>
              <w:rPr>
                <w:rFonts w:hint="eastAsia" w:ascii="宋体" w:hAnsi="宋体" w:cs="宋体"/>
              </w:rPr>
              <w:t>项目二电工电路连接与检测</w:t>
            </w:r>
            <w:r>
              <w:rPr>
                <w:rFonts w:hint="eastAsia" w:ascii="宋体" w:hAnsi="宋体" w:cs="宋体"/>
              </w:rPr>
              <w:br w:type="textWrapping"/>
            </w:r>
            <w:r>
              <w:rPr>
                <w:rFonts w:hint="eastAsia" w:ascii="宋体" w:hAnsi="宋体" w:cs="宋体"/>
              </w:rPr>
              <w:t>任务一灯光基本电路连接与检测</w:t>
            </w:r>
            <w:r>
              <w:rPr>
                <w:rFonts w:hint="eastAsia" w:ascii="宋体" w:hAnsi="宋体" w:cs="宋体"/>
              </w:rPr>
              <w:br w:type="textWrapping"/>
            </w:r>
            <w:r>
              <w:rPr>
                <w:rFonts w:hint="eastAsia" w:ascii="宋体" w:hAnsi="宋体" w:cs="宋体"/>
              </w:rPr>
              <w:t>任务二灯光并联电路连接与检测</w:t>
            </w:r>
            <w:r>
              <w:rPr>
                <w:rFonts w:hint="eastAsia" w:ascii="宋体" w:hAnsi="宋体" w:cs="宋体"/>
              </w:rPr>
              <w:br w:type="textWrapping"/>
            </w:r>
            <w:r>
              <w:rPr>
                <w:rFonts w:hint="eastAsia" w:ascii="宋体" w:hAnsi="宋体" w:cs="宋体"/>
              </w:rPr>
              <w:t>任务三灯光串联电路连接与检测</w:t>
            </w:r>
            <w:r>
              <w:rPr>
                <w:rFonts w:hint="eastAsia" w:ascii="宋体" w:hAnsi="宋体" w:cs="宋体"/>
              </w:rPr>
              <w:br w:type="textWrapping"/>
            </w:r>
            <w:r>
              <w:rPr>
                <w:rFonts w:hint="eastAsia" w:ascii="宋体" w:hAnsi="宋体" w:cs="宋体"/>
              </w:rPr>
              <w:t>任务四灯光混联电路连接与检测</w:t>
            </w:r>
            <w:r>
              <w:rPr>
                <w:rFonts w:hint="eastAsia" w:ascii="宋体" w:hAnsi="宋体" w:cs="宋体"/>
              </w:rPr>
              <w:br w:type="textWrapping"/>
            </w:r>
            <w:r>
              <w:rPr>
                <w:rFonts w:hint="eastAsia" w:ascii="宋体" w:hAnsi="宋体" w:cs="宋体"/>
              </w:rPr>
              <w:t>任务五继电器控制汽车灯光电路连接与检测</w:t>
            </w:r>
            <w:r>
              <w:rPr>
                <w:rFonts w:hint="eastAsia" w:ascii="宋体" w:hAnsi="宋体" w:cs="宋体"/>
              </w:rPr>
              <w:br w:type="textWrapping"/>
            </w:r>
            <w:r>
              <w:rPr>
                <w:rFonts w:hint="eastAsia" w:ascii="宋体" w:hAnsi="宋体" w:cs="宋体"/>
              </w:rPr>
              <w:t>任务六直流电动机正反转电路连接与检测</w:t>
            </w:r>
            <w:r>
              <w:rPr>
                <w:rFonts w:hint="eastAsia" w:ascii="宋体" w:hAnsi="宋体" w:cs="宋体"/>
              </w:rPr>
              <w:br w:type="textWrapping"/>
            </w:r>
            <w:r>
              <w:rPr>
                <w:rFonts w:hint="eastAsia" w:ascii="宋体" w:hAnsi="宋体" w:cs="宋体"/>
              </w:rPr>
              <w:t>项目三电子电路连接与检测</w:t>
            </w:r>
            <w:r>
              <w:rPr>
                <w:rFonts w:hint="eastAsia" w:ascii="宋体" w:hAnsi="宋体" w:cs="宋体"/>
              </w:rPr>
              <w:br w:type="textWrapping"/>
            </w:r>
            <w:r>
              <w:rPr>
                <w:rFonts w:hint="eastAsia" w:ascii="宋体" w:hAnsi="宋体" w:cs="宋体"/>
              </w:rPr>
              <w:t>任务一带二极管控制汽车灯光电路连接与检测</w:t>
            </w:r>
            <w:r>
              <w:rPr>
                <w:rFonts w:hint="eastAsia" w:ascii="宋体" w:hAnsi="宋体" w:cs="宋体"/>
              </w:rPr>
              <w:br w:type="textWrapping"/>
            </w:r>
            <w:r>
              <w:rPr>
                <w:rFonts w:hint="eastAsia" w:ascii="宋体" w:hAnsi="宋体" w:cs="宋体"/>
              </w:rPr>
              <w:t>任务二晶体管控制汽车灯光电路连接与检测</w:t>
            </w:r>
            <w:r>
              <w:rPr>
                <w:rFonts w:hint="eastAsia" w:ascii="宋体" w:hAnsi="宋体" w:cs="宋体"/>
              </w:rPr>
              <w:br w:type="textWrapping"/>
            </w:r>
            <w:r>
              <w:rPr>
                <w:rFonts w:hint="eastAsia" w:ascii="宋体" w:hAnsi="宋体" w:cs="宋体"/>
              </w:rPr>
              <w:t>任务三晶体管控制汽车灯光明暗电路连接与检测</w:t>
            </w:r>
            <w:r>
              <w:rPr>
                <w:rFonts w:hint="eastAsia" w:ascii="宋体" w:hAnsi="宋体" w:cs="宋体"/>
              </w:rPr>
              <w:br w:type="textWrapping"/>
            </w:r>
            <w:r>
              <w:rPr>
                <w:rFonts w:hint="eastAsia" w:ascii="宋体" w:hAnsi="宋体" w:cs="宋体"/>
              </w:rPr>
              <w:t>项目四集成电路连接与检测</w:t>
            </w:r>
            <w:r>
              <w:rPr>
                <w:rFonts w:hint="eastAsia" w:ascii="宋体" w:hAnsi="宋体" w:cs="宋体"/>
              </w:rPr>
              <w:br w:type="textWrapping"/>
            </w:r>
            <w:r>
              <w:rPr>
                <w:rFonts w:hint="eastAsia" w:ascii="宋体" w:hAnsi="宋体" w:cs="宋体"/>
              </w:rPr>
              <w:t>任务一集成运算放大器控制汽车灯光电路连接与检测</w:t>
            </w:r>
            <w:r>
              <w:rPr>
                <w:rFonts w:hint="eastAsia" w:ascii="宋体" w:hAnsi="宋体" w:cs="宋体"/>
              </w:rPr>
              <w:br w:type="textWrapping"/>
            </w:r>
            <w:r>
              <w:rPr>
                <w:rFonts w:hint="eastAsia" w:ascii="宋体" w:hAnsi="宋体" w:cs="宋体"/>
              </w:rPr>
              <w:t>任务二集成逻辑门控制汽车灯光电路连接与检测</w:t>
            </w:r>
            <w:r>
              <w:rPr>
                <w:rFonts w:hint="eastAsia" w:ascii="宋体" w:hAnsi="宋体" w:cs="宋体"/>
              </w:rPr>
              <w:br w:type="textWrapping"/>
            </w:r>
            <w:r>
              <w:rPr>
                <w:rFonts w:hint="eastAsia" w:ascii="宋体" w:hAnsi="宋体" w:cs="宋体"/>
              </w:rPr>
              <w:t>任务三灯光闪烁与明暗电路连接与检测</w:t>
            </w:r>
            <w:r>
              <w:rPr>
                <w:rFonts w:hint="eastAsia" w:ascii="宋体" w:hAnsi="宋体" w:cs="宋体"/>
              </w:rPr>
              <w:br w:type="textWrapping"/>
            </w:r>
            <w:r>
              <w:rPr>
                <w:rFonts w:hint="eastAsia" w:ascii="宋体" w:hAnsi="宋体" w:cs="宋体"/>
              </w:rPr>
              <w:t>项目五交流电路连接与检测</w:t>
            </w:r>
            <w:r>
              <w:rPr>
                <w:rFonts w:hint="eastAsia" w:ascii="宋体" w:hAnsi="宋体" w:cs="宋体"/>
              </w:rPr>
              <w:br w:type="textWrapping"/>
            </w:r>
            <w:r>
              <w:rPr>
                <w:rFonts w:hint="eastAsia" w:ascii="宋体" w:hAnsi="宋体" w:cs="宋体"/>
              </w:rPr>
              <w:t>任务一汽车电灯线路连接</w:t>
            </w:r>
            <w:r>
              <w:rPr>
                <w:rFonts w:hint="eastAsia" w:ascii="宋体" w:hAnsi="宋体" w:cs="宋体"/>
              </w:rPr>
              <w:br w:type="textWrapping"/>
            </w:r>
            <w:r>
              <w:rPr>
                <w:rFonts w:hint="eastAsia" w:ascii="宋体" w:hAnsi="宋体" w:cs="宋体"/>
              </w:rPr>
              <w:t>任务二新能源汽车电动机运转线路连接</w:t>
            </w:r>
            <w:r>
              <w:rPr>
                <w:rFonts w:hint="eastAsia" w:ascii="宋体" w:hAnsi="宋体" w:cs="宋体"/>
              </w:rPr>
              <w:br w:type="textWrapping"/>
            </w:r>
            <w:r>
              <w:rPr>
                <w:rFonts w:hint="eastAsia" w:ascii="宋体" w:hAnsi="宋体" w:cs="宋体"/>
              </w:rPr>
              <w:t>任务三新能源汽车电动机运转线路连接</w:t>
            </w:r>
            <w:r>
              <w:rPr>
                <w:rFonts w:hint="eastAsia" w:ascii="宋体" w:hAnsi="宋体" w:cs="宋体"/>
              </w:rPr>
              <w:br w:type="textWrapping"/>
            </w:r>
            <w:r>
              <w:rPr>
                <w:rFonts w:hint="eastAsia" w:ascii="宋体" w:hAnsi="宋体" w:cs="宋体"/>
              </w:rPr>
              <w:t>任务四接触器控制的新能源汽车电动机运转线路的连接</w:t>
            </w:r>
            <w:r>
              <w:rPr>
                <w:rFonts w:hint="eastAsia" w:ascii="宋体" w:hAnsi="宋体" w:cs="宋体"/>
              </w:rPr>
              <w:br w:type="textWrapping"/>
            </w:r>
            <w:r>
              <w:rPr>
                <w:rFonts w:hint="eastAsia" w:ascii="宋体" w:hAnsi="宋体" w:cs="宋体"/>
              </w:rPr>
              <w:t>提供配套对应的汽车电子电器实训教材资源（130页）、汽车电子电器实验箱的实训指导书、汽车电子电器实验箱智能化故障设置系统实训指导书样书佐证展示满足技术参数。</w:t>
            </w:r>
            <w:r>
              <w:rPr>
                <w:rFonts w:hint="eastAsia" w:ascii="宋体" w:hAnsi="宋体" w:cs="宋体"/>
              </w:rPr>
              <w:br w:type="textWrapping"/>
            </w:r>
            <w:r>
              <w:rPr>
                <w:rFonts w:hint="eastAsia" w:ascii="宋体" w:hAnsi="宋体" w:cs="宋体"/>
              </w:rPr>
              <w:t>汽车电子电器实验箱采用双层箱体式，外观由铝合框架+密度板设计而成，检测面板采用7075铝合金材料，激光一体成型，表面采用高温喷塑工艺+UV固化工艺表面印刷电器符号，采用3mm安全型检测端子，检测端子连接处采用PCB板材，PCB板应采用一体化电路板设计，采用机械贴片焊接，设备采用电弧灭弧保护电路与多重安全保护，内置一体化不少于2层PCB无铅环保电路整体封装，PCB板电路封装达到车规级技术标准，PCB板内部采用2盎司铜箔布线，耐流等级为10A。使检检测端子牢牢固定在线路板上，避免端子松动，接触不良带来的故障分析问题，设有易损件快换区，发现损坏更轻松进行更好电阻、电容等零部件。</w:t>
            </w:r>
          </w:p>
        </w:tc>
        <w:tc>
          <w:tcPr>
            <w:tcW w:w="357" w:type="pct"/>
            <w:vAlign w:val="center"/>
          </w:tcPr>
          <w:p w14:paraId="26C832BB">
            <w:pPr>
              <w:jc w:val="center"/>
              <w:rPr>
                <w:rFonts w:hint="eastAsia" w:ascii="宋体" w:hAnsi="宋体" w:cs="宋体"/>
                <w:szCs w:val="21"/>
              </w:rPr>
            </w:pPr>
            <w:r>
              <w:rPr>
                <w:rFonts w:hint="eastAsia" w:ascii="宋体" w:hAnsi="宋体" w:cs="宋体"/>
                <w:szCs w:val="21"/>
              </w:rPr>
              <w:t>10</w:t>
            </w:r>
          </w:p>
        </w:tc>
        <w:tc>
          <w:tcPr>
            <w:tcW w:w="341" w:type="pct"/>
            <w:vAlign w:val="center"/>
          </w:tcPr>
          <w:p w14:paraId="694EF3D1">
            <w:pPr>
              <w:jc w:val="center"/>
              <w:rPr>
                <w:rFonts w:hint="eastAsia" w:ascii="宋体" w:hAnsi="宋体" w:cs="宋体"/>
                <w:szCs w:val="21"/>
              </w:rPr>
            </w:pPr>
          </w:p>
          <w:p w14:paraId="14EC887F">
            <w:pPr>
              <w:jc w:val="center"/>
              <w:rPr>
                <w:rFonts w:hint="eastAsia" w:ascii="宋体" w:hAnsi="宋体" w:cs="宋体"/>
                <w:szCs w:val="21"/>
              </w:rPr>
            </w:pPr>
          </w:p>
          <w:p w14:paraId="513D355F">
            <w:pPr>
              <w:jc w:val="center"/>
              <w:rPr>
                <w:rFonts w:hint="eastAsia" w:ascii="宋体" w:hAnsi="宋体" w:cs="宋体"/>
                <w:szCs w:val="21"/>
              </w:rPr>
            </w:pPr>
          </w:p>
          <w:p w14:paraId="3435510F">
            <w:pPr>
              <w:jc w:val="center"/>
              <w:rPr>
                <w:rFonts w:hint="eastAsia" w:ascii="宋体" w:hAnsi="宋体" w:cs="宋体"/>
                <w:szCs w:val="21"/>
              </w:rPr>
            </w:pPr>
          </w:p>
          <w:p w14:paraId="7C73743A">
            <w:pPr>
              <w:jc w:val="center"/>
              <w:rPr>
                <w:rFonts w:hint="eastAsia" w:ascii="宋体" w:hAnsi="宋体" w:cs="宋体"/>
                <w:szCs w:val="21"/>
              </w:rPr>
            </w:pPr>
          </w:p>
          <w:p w14:paraId="743ED5B8">
            <w:pPr>
              <w:jc w:val="center"/>
              <w:rPr>
                <w:rFonts w:hint="eastAsia" w:ascii="宋体" w:hAnsi="宋体" w:cs="宋体"/>
                <w:szCs w:val="21"/>
              </w:rPr>
            </w:pPr>
          </w:p>
          <w:p w14:paraId="2999EF67">
            <w:pPr>
              <w:jc w:val="center"/>
              <w:rPr>
                <w:rFonts w:hint="eastAsia" w:ascii="宋体" w:hAnsi="宋体" w:cs="宋体"/>
                <w:szCs w:val="21"/>
              </w:rPr>
            </w:pPr>
          </w:p>
          <w:p w14:paraId="11820A21">
            <w:pPr>
              <w:jc w:val="center"/>
              <w:rPr>
                <w:rFonts w:hint="eastAsia" w:ascii="宋体" w:hAnsi="宋体" w:cs="宋体"/>
                <w:szCs w:val="21"/>
              </w:rPr>
            </w:pPr>
          </w:p>
          <w:p w14:paraId="44CB40F2">
            <w:pPr>
              <w:jc w:val="center"/>
              <w:rPr>
                <w:rFonts w:hint="eastAsia" w:ascii="宋体" w:hAnsi="宋体" w:cs="宋体"/>
                <w:szCs w:val="21"/>
              </w:rPr>
            </w:pPr>
          </w:p>
          <w:p w14:paraId="44875D27">
            <w:pPr>
              <w:jc w:val="center"/>
              <w:rPr>
                <w:rFonts w:hint="eastAsia" w:ascii="宋体" w:hAnsi="宋体" w:cs="宋体"/>
                <w:szCs w:val="21"/>
              </w:rPr>
            </w:pPr>
          </w:p>
          <w:p w14:paraId="180D87D3">
            <w:pPr>
              <w:jc w:val="center"/>
              <w:rPr>
                <w:rFonts w:hint="eastAsia" w:ascii="宋体" w:hAnsi="宋体" w:cs="宋体"/>
                <w:szCs w:val="21"/>
              </w:rPr>
            </w:pPr>
          </w:p>
          <w:p w14:paraId="5A205748">
            <w:pPr>
              <w:jc w:val="center"/>
              <w:rPr>
                <w:rFonts w:hint="eastAsia" w:ascii="宋体" w:hAnsi="宋体" w:cs="宋体"/>
                <w:szCs w:val="21"/>
              </w:rPr>
            </w:pPr>
          </w:p>
          <w:p w14:paraId="25C156C0">
            <w:pPr>
              <w:jc w:val="center"/>
              <w:rPr>
                <w:rFonts w:hint="eastAsia" w:ascii="宋体" w:hAnsi="宋体" w:cs="宋体"/>
                <w:szCs w:val="21"/>
              </w:rPr>
            </w:pPr>
          </w:p>
          <w:p w14:paraId="0529C551">
            <w:pPr>
              <w:jc w:val="center"/>
              <w:rPr>
                <w:rFonts w:hint="eastAsia" w:ascii="宋体" w:hAnsi="宋体" w:cs="宋体"/>
                <w:szCs w:val="21"/>
              </w:rPr>
            </w:pPr>
          </w:p>
          <w:p w14:paraId="2E83656E">
            <w:pPr>
              <w:jc w:val="center"/>
              <w:rPr>
                <w:rFonts w:hint="eastAsia" w:ascii="宋体" w:hAnsi="宋体" w:cs="宋体"/>
                <w:szCs w:val="21"/>
              </w:rPr>
            </w:pPr>
            <w:r>
              <w:rPr>
                <w:rFonts w:hint="eastAsia" w:ascii="宋体" w:hAnsi="宋体" w:cs="宋体"/>
                <w:szCs w:val="21"/>
              </w:rPr>
              <w:t>套</w:t>
            </w:r>
          </w:p>
        </w:tc>
      </w:tr>
      <w:tr w14:paraId="7CA43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2FFC05DB">
            <w:pPr>
              <w:jc w:val="center"/>
              <w:rPr>
                <w:rFonts w:hint="eastAsia" w:ascii="宋体" w:hAnsi="宋体" w:cs="宋体"/>
                <w:b/>
                <w:bCs/>
                <w:szCs w:val="21"/>
              </w:rPr>
            </w:pPr>
            <w:r>
              <w:rPr>
                <w:rFonts w:hint="eastAsia" w:ascii="宋体" w:hAnsi="宋体" w:cs="宋体"/>
                <w:szCs w:val="21"/>
              </w:rPr>
              <w:t>22</w:t>
            </w:r>
          </w:p>
        </w:tc>
        <w:tc>
          <w:tcPr>
            <w:tcW w:w="536" w:type="pct"/>
            <w:vAlign w:val="center"/>
          </w:tcPr>
          <w:p w14:paraId="7279646C">
            <w:pPr>
              <w:pStyle w:val="80"/>
              <w:jc w:val="center"/>
              <w:rPr>
                <w:rFonts w:hint="eastAsia" w:ascii="宋体" w:hAnsi="宋体" w:cs="宋体"/>
              </w:rPr>
            </w:pPr>
            <w:r>
              <w:rPr>
                <w:rFonts w:hint="eastAsia" w:ascii="宋体" w:hAnsi="宋体" w:cs="宋体"/>
              </w:rPr>
              <w:t>插电式混合动力汽车电池管理实训教学系统</w:t>
            </w:r>
          </w:p>
        </w:tc>
        <w:tc>
          <w:tcPr>
            <w:tcW w:w="3571" w:type="pct"/>
            <w:vAlign w:val="center"/>
          </w:tcPr>
          <w:p w14:paraId="360E671D">
            <w:pPr>
              <w:pStyle w:val="80"/>
              <w:ind w:left="105" w:leftChars="50"/>
              <w:jc w:val="left"/>
              <w:rPr>
                <w:rFonts w:hint="eastAsia" w:ascii="宋体" w:hAnsi="宋体" w:cs="宋体"/>
              </w:rPr>
            </w:pPr>
            <w:r>
              <w:rPr>
                <w:rFonts w:hint="eastAsia" w:ascii="宋体" w:hAnsi="宋体" w:cs="宋体"/>
              </w:rPr>
              <w:t>一、产品组成要求:</w:t>
            </w:r>
            <w:r>
              <w:rPr>
                <w:rFonts w:hint="eastAsia" w:ascii="宋体" w:hAnsi="宋体" w:cs="宋体"/>
              </w:rPr>
              <w:br w:type="textWrapping"/>
            </w:r>
            <w:r>
              <w:rPr>
                <w:rFonts w:hint="eastAsia" w:ascii="宋体" w:hAnsi="宋体" w:cs="宋体"/>
              </w:rPr>
              <w:t>1、动力电源(插电式混合动力)：三元锂动力电池组，纯电续航里程≥63Km,电池能量≥12.1KWh。</w:t>
            </w:r>
            <w:r>
              <w:rPr>
                <w:rFonts w:hint="eastAsia" w:ascii="宋体" w:hAnsi="宋体" w:cs="宋体"/>
              </w:rPr>
              <w:br w:type="textWrapping"/>
            </w:r>
            <w:r>
              <w:rPr>
                <w:rFonts w:hint="eastAsia" w:ascii="宋体" w:hAnsi="宋体" w:cs="宋体"/>
              </w:rPr>
              <w:t>2、电池管理系统：本车采用分布式电池管理系统，由电池管理控制器、电池信息采集器、电池采样线组成。</w:t>
            </w:r>
            <w:r>
              <w:rPr>
                <w:rFonts w:hint="eastAsia" w:ascii="宋体" w:hAnsi="宋体" w:cs="宋体"/>
              </w:rPr>
              <w:br w:type="textWrapping"/>
            </w:r>
            <w:r>
              <w:rPr>
                <w:rFonts w:hint="eastAsia" w:ascii="宋体" w:hAnsi="宋体" w:cs="宋体"/>
              </w:rPr>
              <w:t>3、控制面板：UV喷绘电路图板、双向检测端子。</w:t>
            </w:r>
            <w:r>
              <w:rPr>
                <w:rFonts w:hint="eastAsia" w:ascii="宋体" w:hAnsi="宋体" w:cs="宋体"/>
              </w:rPr>
              <w:br w:type="textWrapping"/>
            </w:r>
            <w:r>
              <w:rPr>
                <w:rFonts w:hint="eastAsia" w:ascii="宋体" w:hAnsi="宋体" w:cs="宋体"/>
              </w:rPr>
              <w:t>4、支撑平台：优质铝合金型材配套ABS吸塑外观 、万向锁止脚轮。</w:t>
            </w:r>
            <w:r>
              <w:rPr>
                <w:rFonts w:hint="eastAsia" w:ascii="宋体" w:hAnsi="宋体" w:cs="宋体"/>
              </w:rPr>
              <w:br w:type="textWrapping"/>
            </w:r>
            <w:r>
              <w:rPr>
                <w:rFonts w:hint="eastAsia" w:ascii="宋体" w:hAnsi="宋体" w:cs="宋体"/>
              </w:rPr>
              <w:t>二、产品规格与工艺要求:</w:t>
            </w:r>
            <w:r>
              <w:rPr>
                <w:rFonts w:hint="eastAsia" w:ascii="宋体" w:hAnsi="宋体" w:cs="宋体"/>
              </w:rPr>
              <w:br w:type="textWrapping"/>
            </w:r>
            <w:r>
              <w:rPr>
                <w:rFonts w:hint="eastAsia" w:ascii="宋体" w:hAnsi="宋体" w:cs="宋体"/>
              </w:rPr>
              <w:t>1.外型尺寸（长*宽*高）：≥1200mm×1100mm×1500mm</w:t>
            </w:r>
            <w:r>
              <w:rPr>
                <w:rFonts w:hint="eastAsia" w:ascii="宋体" w:hAnsi="宋体" w:cs="宋体"/>
              </w:rPr>
              <w:br w:type="textWrapping"/>
            </w:r>
            <w:r>
              <w:rPr>
                <w:rFonts w:hint="eastAsia" w:ascii="宋体" w:hAnsi="宋体" w:cs="宋体"/>
              </w:rPr>
              <w:t xml:space="preserve">2.工作电压：低压蓄电池电压DC12V    </w:t>
            </w:r>
            <w:r>
              <w:rPr>
                <w:rFonts w:hint="eastAsia" w:ascii="宋体" w:hAnsi="宋体" w:cs="宋体"/>
              </w:rPr>
              <w:br w:type="textWrapping"/>
            </w:r>
            <w:r>
              <w:rPr>
                <w:rFonts w:hint="eastAsia" w:ascii="宋体" w:hAnsi="宋体" w:cs="宋体"/>
              </w:rPr>
              <w:t>3.整体台架采用哑光黑色3mm厚ABS吸塑包裹工艺结构美观大方、有足够的机械强度，整体高度1050mm宽1406mm长560mm吸塑R角处可一保证最小厚度大于2mm。</w:t>
            </w:r>
            <w:r>
              <w:rPr>
                <w:rFonts w:hint="eastAsia" w:ascii="宋体" w:hAnsi="宋体" w:cs="宋体"/>
              </w:rPr>
              <w:br w:type="textWrapping"/>
            </w:r>
            <w:r>
              <w:rPr>
                <w:rFonts w:hint="eastAsia" w:ascii="宋体" w:hAnsi="宋体" w:cs="宋体"/>
              </w:rPr>
              <w:t>4.底座ABS吸塑罩盖长1406mm宽327mm高80mm，罩盖采用三面折弯包裹拔模角度为95°最大R角为10mm拔模角度为5°，罩盖上两侧设有凹型物料放置空间，两侧加装两个橙色L型ABS装饰条。</w:t>
            </w:r>
            <w:r>
              <w:rPr>
                <w:rFonts w:hint="eastAsia" w:ascii="宋体" w:hAnsi="宋体" w:cs="宋体"/>
              </w:rPr>
              <w:br w:type="textWrapping"/>
            </w:r>
            <w:r>
              <w:rPr>
                <w:rFonts w:hint="eastAsia" w:ascii="宋体" w:hAnsi="宋体" w:cs="宋体"/>
              </w:rPr>
              <w:t>5.台架后立柱使用组合式哑光黑色3mm厚ABS吸塑罩盖长600mm宽60mm高823mm配合间隙≥2mm，边角R115mm拔模角度为3°，边缘设有L型对接卡槽用于与前立柱结合，内部加装40mmX40mm方钢作为骨架，后吸塑罩盖设计为流线型长盖，立柱上部与下部的角度为88°，</w:t>
            </w:r>
            <w:r>
              <w:rPr>
                <w:rFonts w:hint="eastAsia" w:ascii="宋体" w:hAnsi="宋体" w:cs="宋体"/>
              </w:rPr>
              <w:br w:type="textWrapping"/>
            </w:r>
            <w:r>
              <w:rPr>
                <w:rFonts w:hint="eastAsia" w:ascii="宋体" w:hAnsi="宋体" w:cs="宋体"/>
              </w:rPr>
              <w:t>6.台架前立柱使用组合式哑光黑色3mm厚ABS吸塑罩长607mm宽160mm高772mm配合间隙≥2mm，边角R115mm拔模角度为3°，边缘设有L型对接卡槽用于与后立柱结合，前立柱罩盖中间位置设计有logo凹槽，logo槽外围配置7mm深艺术U型槽作为装饰，两侧配置橘黄色装饰条，前立柱底部设有口子型外设预留孔，可以安装制动踏板、油门踏板等机械装置。前吸塑立柱上部预留φ32mm把手安装孔，吸塑台架配置U字形台架拉手，拉手采用高强度钢管焊接而成把手外面包裹高仿耐磨皮革，皮革采用黑色高韧性尼龙线编花缝接。</w:t>
            </w:r>
            <w:r>
              <w:rPr>
                <w:rFonts w:hint="eastAsia" w:ascii="宋体" w:hAnsi="宋体" w:cs="宋体"/>
              </w:rPr>
              <w:br w:type="textWrapping"/>
            </w:r>
            <w:r>
              <w:rPr>
                <w:rFonts w:hint="eastAsia" w:ascii="宋体" w:hAnsi="宋体" w:cs="宋体"/>
              </w:rPr>
              <w:t>7.操控面板采用黑色哑光3mm厚ABS吸塑一次成型，外部尺寸长1200mm宽520mm高131mm，中间操控板安装位置尺寸长1086mm宽406mm，边角R为5mm拔模角度5°，吸塑操控面板上面边缘设有11mm高一字型流线装饰条纹凹凸别致美观大方。操控面板吸塑内部配置高强度钢骨架，用于与吸塑立柱连接并固定操控面板。</w:t>
            </w:r>
            <w:r>
              <w:rPr>
                <w:rFonts w:hint="eastAsia" w:ascii="宋体" w:hAnsi="宋体" w:cs="宋体"/>
              </w:rPr>
              <w:br w:type="textWrapping"/>
            </w:r>
            <w:r>
              <w:rPr>
                <w:rFonts w:hint="eastAsia" w:ascii="宋体" w:hAnsi="宋体" w:cs="宋体"/>
              </w:rPr>
              <w:t>8.多功能防护罩采用哑光黑色3mm厚ABS吸塑一次成型，长1350mm总宽100mm边缘宽度35mm高510mm，边角R10mm拔模角度为3°。多功能防护罩外型为金子塔样式，中加位置可放置logo，整体防护罩面用四个流线型骨架分为四个区域，下面区域为长35mm宽8mm蜂窝状通气孔，左侧和右侧区域为8mm宽渐变型长条通气孔。左右区域通气孔最上部设有6mm深凹槽可安装橙色装饰条。上部区域设有6mm深一字型流线槽用于增加机械强度和装饰。</w:t>
            </w:r>
            <w:r>
              <w:rPr>
                <w:rFonts w:hint="eastAsia" w:ascii="宋体" w:hAnsi="宋体" w:cs="宋体"/>
              </w:rPr>
              <w:br w:type="textWrapping"/>
            </w:r>
            <w:r>
              <w:rPr>
                <w:rFonts w:hint="eastAsia" w:ascii="宋体" w:hAnsi="宋体" w:cs="宋体"/>
              </w:rPr>
              <w:t>三、产品功能要求:</w:t>
            </w:r>
            <w:r>
              <w:rPr>
                <w:rFonts w:hint="eastAsia" w:ascii="宋体" w:hAnsi="宋体" w:cs="宋体"/>
              </w:rPr>
              <w:br w:type="textWrapping"/>
            </w:r>
            <w:r>
              <w:rPr>
                <w:rFonts w:hint="eastAsia" w:ascii="宋体" w:hAnsi="宋体" w:cs="宋体"/>
              </w:rPr>
              <w:t>1、部件展示功能：高压电池组护罩采用局部解剖使其内部的单体锂电池、电池检测模块、串轨等部件清晰可见。学生可直观了解电池包内部结构，有单体电池组成的电池组，由多个电池组串联组成电池包，了解电池包内部电池组的排列方式及产品加工工艺，电池检测模块有规律的装配高压电池组上，提取单体电池的充放电电压、充放电电流及充放电温度。</w:t>
            </w:r>
            <w:r>
              <w:rPr>
                <w:rFonts w:hint="eastAsia" w:ascii="宋体" w:hAnsi="宋体" w:cs="宋体"/>
              </w:rPr>
              <w:br w:type="textWrapping"/>
            </w:r>
            <w:r>
              <w:rPr>
                <w:rFonts w:hint="eastAsia" w:ascii="宋体" w:hAnsi="宋体" w:cs="宋体"/>
              </w:rPr>
              <w:t>2、检测功能：实训考核系统配有检测控制电路图面板，可以参照电路图，通过双向检测端子对各控制线及信号线进行数据参数提取，电压检测、电阻检测等快速完成检测。</w:t>
            </w:r>
            <w:r>
              <w:rPr>
                <w:rFonts w:hint="eastAsia" w:ascii="宋体" w:hAnsi="宋体" w:cs="宋体"/>
              </w:rPr>
              <w:br w:type="textWrapping"/>
            </w:r>
            <w:r>
              <w:rPr>
                <w:rFonts w:hint="eastAsia" w:ascii="宋体" w:hAnsi="宋体" w:cs="宋体"/>
              </w:rPr>
              <w:t>3、诊断仪检测，可以应用通用汽车诊断仪或专用诊断仪对动力电池管理系统进行检测。读取故障码、清除故障码及数据流应用。示波器检测，通过专用示波器及专用示波器对动力电池管理系统传输信号波形进行提取及分析。</w:t>
            </w:r>
            <w:r>
              <w:rPr>
                <w:rFonts w:hint="eastAsia" w:ascii="宋体" w:hAnsi="宋体" w:cs="宋体"/>
              </w:rPr>
              <w:br w:type="textWrapping"/>
            </w:r>
            <w:r>
              <w:rPr>
                <w:rFonts w:hint="eastAsia" w:ascii="宋体" w:hAnsi="宋体" w:cs="宋体"/>
              </w:rPr>
              <w:t>4、高压电安全控制功能：电池包中带有保险丝保障电池包充放电安全，电池包装有管理模块配合发动机动力输出源。</w:t>
            </w:r>
            <w:r>
              <w:rPr>
                <w:rFonts w:hint="eastAsia" w:ascii="宋体" w:hAnsi="宋体" w:cs="宋体"/>
              </w:rPr>
              <w:br w:type="textWrapping"/>
            </w:r>
            <w:r>
              <w:rPr>
                <w:rFonts w:hint="eastAsia" w:ascii="宋体" w:hAnsi="宋体" w:cs="宋体"/>
              </w:rPr>
              <w:t>5、实训考核系统上关键零部件有铭牌标注其名称，电池组上盖部分使用透明装置，方便教学。</w:t>
            </w:r>
            <w:r>
              <w:rPr>
                <w:rFonts w:hint="eastAsia" w:ascii="宋体" w:hAnsi="宋体" w:cs="宋体"/>
              </w:rPr>
              <w:br w:type="textWrapping"/>
            </w:r>
            <w:r>
              <w:rPr>
                <w:rFonts w:hint="eastAsia" w:ascii="宋体" w:hAnsi="宋体" w:cs="宋体"/>
              </w:rPr>
              <w:t>四、教学及实训项目:</w:t>
            </w:r>
            <w:r>
              <w:rPr>
                <w:rFonts w:hint="eastAsia" w:ascii="宋体" w:hAnsi="宋体" w:cs="宋体"/>
              </w:rPr>
              <w:br w:type="textWrapping"/>
            </w:r>
            <w:r>
              <w:rPr>
                <w:rFonts w:hint="eastAsia" w:ascii="宋体" w:hAnsi="宋体" w:cs="宋体"/>
              </w:rPr>
              <w:t>1、了解动力电池包的内部结构组成</w:t>
            </w:r>
            <w:r>
              <w:rPr>
                <w:rFonts w:hint="eastAsia" w:ascii="宋体" w:hAnsi="宋体" w:cs="宋体"/>
              </w:rPr>
              <w:br w:type="textWrapping"/>
            </w:r>
            <w:r>
              <w:rPr>
                <w:rFonts w:hint="eastAsia" w:ascii="宋体" w:hAnsi="宋体" w:cs="宋体"/>
              </w:rPr>
              <w:t>2、DC+和DC-主电源线的区分、拆装及电压检测</w:t>
            </w:r>
            <w:r>
              <w:rPr>
                <w:rFonts w:hint="eastAsia" w:ascii="宋体" w:hAnsi="宋体" w:cs="宋体"/>
              </w:rPr>
              <w:br w:type="textWrapping"/>
            </w:r>
            <w:r>
              <w:rPr>
                <w:rFonts w:hint="eastAsia" w:ascii="宋体" w:hAnsi="宋体" w:cs="宋体"/>
              </w:rPr>
              <w:t>3、电池管理控制系统控制器的位置、作用、控制内容、控制原理。</w:t>
            </w:r>
            <w:r>
              <w:rPr>
                <w:rFonts w:hint="eastAsia" w:ascii="宋体" w:hAnsi="宋体" w:cs="宋体"/>
              </w:rPr>
              <w:br w:type="textWrapping"/>
            </w:r>
            <w:r>
              <w:rPr>
                <w:rFonts w:hint="eastAsia" w:ascii="宋体" w:hAnsi="宋体" w:cs="宋体"/>
              </w:rPr>
              <w:t>4、掌握高压操作安全原理及操作方法</w:t>
            </w:r>
            <w:r>
              <w:rPr>
                <w:rFonts w:hint="eastAsia" w:ascii="宋体" w:hAnsi="宋体" w:cs="宋体"/>
              </w:rPr>
              <w:br w:type="textWrapping"/>
            </w:r>
            <w:r>
              <w:rPr>
                <w:rFonts w:hint="eastAsia" w:ascii="宋体" w:hAnsi="宋体" w:cs="宋体"/>
              </w:rPr>
              <w:t>5、掌握锂电池的特性，及方形封装电池的结构。</w:t>
            </w:r>
          </w:p>
        </w:tc>
        <w:tc>
          <w:tcPr>
            <w:tcW w:w="357" w:type="pct"/>
            <w:vAlign w:val="center"/>
          </w:tcPr>
          <w:p w14:paraId="6196A251">
            <w:pPr>
              <w:jc w:val="center"/>
              <w:rPr>
                <w:rFonts w:hint="eastAsia" w:ascii="宋体" w:hAnsi="宋体" w:cs="宋体"/>
                <w:szCs w:val="21"/>
              </w:rPr>
            </w:pPr>
            <w:r>
              <w:rPr>
                <w:rFonts w:hint="eastAsia" w:ascii="宋体" w:hAnsi="宋体" w:cs="宋体"/>
                <w:szCs w:val="21"/>
              </w:rPr>
              <w:t>1</w:t>
            </w:r>
          </w:p>
        </w:tc>
        <w:tc>
          <w:tcPr>
            <w:tcW w:w="341" w:type="pct"/>
            <w:vAlign w:val="center"/>
          </w:tcPr>
          <w:p w14:paraId="6ADDF502">
            <w:pPr>
              <w:jc w:val="center"/>
              <w:rPr>
                <w:rFonts w:hint="eastAsia" w:ascii="宋体" w:hAnsi="宋体" w:cs="宋体"/>
                <w:szCs w:val="21"/>
              </w:rPr>
            </w:pPr>
          </w:p>
          <w:p w14:paraId="600D4A08">
            <w:pPr>
              <w:jc w:val="center"/>
              <w:rPr>
                <w:rFonts w:hint="eastAsia" w:ascii="宋体" w:hAnsi="宋体" w:cs="宋体"/>
                <w:szCs w:val="21"/>
              </w:rPr>
            </w:pPr>
          </w:p>
          <w:p w14:paraId="78DDFBEE">
            <w:pPr>
              <w:jc w:val="center"/>
              <w:rPr>
                <w:rFonts w:hint="eastAsia" w:ascii="宋体" w:hAnsi="宋体" w:cs="宋体"/>
                <w:szCs w:val="21"/>
              </w:rPr>
            </w:pPr>
          </w:p>
          <w:p w14:paraId="7716D04B">
            <w:pPr>
              <w:jc w:val="center"/>
              <w:rPr>
                <w:rFonts w:hint="eastAsia" w:ascii="宋体" w:hAnsi="宋体" w:cs="宋体"/>
                <w:szCs w:val="21"/>
              </w:rPr>
            </w:pPr>
          </w:p>
          <w:p w14:paraId="4141D0BF">
            <w:pPr>
              <w:jc w:val="center"/>
              <w:rPr>
                <w:rFonts w:hint="eastAsia" w:ascii="宋体" w:hAnsi="宋体" w:cs="宋体"/>
                <w:szCs w:val="21"/>
              </w:rPr>
            </w:pPr>
          </w:p>
          <w:p w14:paraId="14F200D6">
            <w:pPr>
              <w:jc w:val="center"/>
              <w:rPr>
                <w:rFonts w:hint="eastAsia" w:ascii="宋体" w:hAnsi="宋体" w:cs="宋体"/>
                <w:szCs w:val="21"/>
              </w:rPr>
            </w:pPr>
          </w:p>
          <w:p w14:paraId="2316D63B">
            <w:pPr>
              <w:jc w:val="center"/>
              <w:rPr>
                <w:rFonts w:hint="eastAsia" w:ascii="宋体" w:hAnsi="宋体" w:cs="宋体"/>
                <w:szCs w:val="21"/>
              </w:rPr>
            </w:pPr>
          </w:p>
          <w:p w14:paraId="3E2549A9">
            <w:pPr>
              <w:jc w:val="center"/>
              <w:rPr>
                <w:rFonts w:hint="eastAsia" w:ascii="宋体" w:hAnsi="宋体" w:cs="宋体"/>
                <w:szCs w:val="21"/>
              </w:rPr>
            </w:pPr>
            <w:r>
              <w:rPr>
                <w:rFonts w:hint="eastAsia" w:ascii="宋体" w:hAnsi="宋体" w:cs="宋体"/>
                <w:szCs w:val="21"/>
              </w:rPr>
              <w:t>套</w:t>
            </w:r>
          </w:p>
          <w:p w14:paraId="3787A306">
            <w:pPr>
              <w:jc w:val="center"/>
              <w:rPr>
                <w:rFonts w:hint="eastAsia" w:ascii="宋体" w:hAnsi="宋体" w:cs="宋体"/>
                <w:szCs w:val="21"/>
              </w:rPr>
            </w:pPr>
          </w:p>
          <w:p w14:paraId="6985F3B8">
            <w:pPr>
              <w:jc w:val="center"/>
              <w:rPr>
                <w:rFonts w:hint="eastAsia" w:ascii="宋体" w:hAnsi="宋体" w:cs="宋体"/>
                <w:szCs w:val="21"/>
              </w:rPr>
            </w:pPr>
          </w:p>
          <w:p w14:paraId="52E3D22E">
            <w:pPr>
              <w:jc w:val="center"/>
              <w:rPr>
                <w:rFonts w:hint="eastAsia" w:ascii="宋体" w:hAnsi="宋体" w:cs="宋体"/>
                <w:szCs w:val="21"/>
              </w:rPr>
            </w:pPr>
          </w:p>
          <w:p w14:paraId="0902FD9D">
            <w:pPr>
              <w:jc w:val="center"/>
              <w:rPr>
                <w:rFonts w:hint="eastAsia" w:ascii="宋体" w:hAnsi="宋体" w:cs="宋体"/>
                <w:szCs w:val="21"/>
              </w:rPr>
            </w:pPr>
          </w:p>
          <w:p w14:paraId="52C82DC6">
            <w:pPr>
              <w:jc w:val="center"/>
              <w:rPr>
                <w:rFonts w:hint="eastAsia" w:ascii="宋体" w:hAnsi="宋体" w:cs="宋体"/>
                <w:szCs w:val="21"/>
              </w:rPr>
            </w:pPr>
          </w:p>
          <w:p w14:paraId="6490F88B">
            <w:pPr>
              <w:jc w:val="center"/>
              <w:rPr>
                <w:rFonts w:hint="eastAsia" w:ascii="宋体" w:hAnsi="宋体" w:cs="宋体"/>
                <w:szCs w:val="21"/>
              </w:rPr>
            </w:pPr>
          </w:p>
          <w:p w14:paraId="289BD0C0">
            <w:pPr>
              <w:jc w:val="center"/>
              <w:rPr>
                <w:rFonts w:hint="eastAsia" w:ascii="宋体" w:hAnsi="宋体" w:cs="宋体"/>
                <w:szCs w:val="21"/>
              </w:rPr>
            </w:pPr>
          </w:p>
        </w:tc>
      </w:tr>
      <w:tr w14:paraId="736E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41F64333">
            <w:pPr>
              <w:jc w:val="center"/>
              <w:rPr>
                <w:rFonts w:hint="eastAsia" w:ascii="宋体" w:hAnsi="宋体" w:cs="宋体"/>
                <w:b/>
                <w:bCs/>
                <w:szCs w:val="21"/>
              </w:rPr>
            </w:pPr>
            <w:r>
              <w:rPr>
                <w:rFonts w:hint="eastAsia" w:ascii="宋体" w:hAnsi="宋体" w:cs="宋体"/>
                <w:szCs w:val="21"/>
              </w:rPr>
              <w:t>23</w:t>
            </w:r>
          </w:p>
        </w:tc>
        <w:tc>
          <w:tcPr>
            <w:tcW w:w="536" w:type="pct"/>
            <w:vAlign w:val="center"/>
          </w:tcPr>
          <w:p w14:paraId="1F7CD777">
            <w:pPr>
              <w:pStyle w:val="80"/>
              <w:jc w:val="center"/>
              <w:rPr>
                <w:rFonts w:hint="eastAsia" w:ascii="宋体" w:hAnsi="宋体" w:cs="宋体"/>
              </w:rPr>
            </w:pPr>
            <w:r>
              <w:rPr>
                <w:rFonts w:hint="eastAsia" w:ascii="宋体" w:hAnsi="宋体" w:cs="宋体"/>
              </w:rPr>
              <w:t>插电式混合动力汽车电动转向实训教学系统</w:t>
            </w:r>
          </w:p>
        </w:tc>
        <w:tc>
          <w:tcPr>
            <w:tcW w:w="3571" w:type="pct"/>
            <w:vAlign w:val="center"/>
          </w:tcPr>
          <w:p w14:paraId="1362C534">
            <w:pPr>
              <w:pStyle w:val="80"/>
              <w:ind w:left="105" w:leftChars="50"/>
              <w:jc w:val="left"/>
              <w:rPr>
                <w:rFonts w:hint="eastAsia" w:ascii="宋体" w:hAnsi="宋体" w:cs="宋体"/>
              </w:rPr>
            </w:pPr>
            <w:r>
              <w:rPr>
                <w:rFonts w:hint="eastAsia" w:ascii="宋体" w:hAnsi="宋体" w:cs="宋体"/>
              </w:rPr>
              <w:t>一、产品组成要求:</w:t>
            </w:r>
            <w:r>
              <w:rPr>
                <w:rFonts w:hint="eastAsia" w:ascii="宋体" w:hAnsi="宋体" w:cs="宋体"/>
              </w:rPr>
              <w:br w:type="textWrapping"/>
            </w:r>
            <w:r>
              <w:rPr>
                <w:rFonts w:hint="eastAsia" w:ascii="宋体" w:hAnsi="宋体" w:cs="宋体"/>
              </w:rPr>
              <w:t>控制部分：转向助力系统电子控制单元</w:t>
            </w:r>
            <w:r>
              <w:rPr>
                <w:rFonts w:hint="eastAsia" w:ascii="宋体" w:hAnsi="宋体" w:cs="宋体"/>
              </w:rPr>
              <w:br w:type="textWrapping"/>
            </w:r>
            <w:r>
              <w:rPr>
                <w:rFonts w:hint="eastAsia" w:ascii="宋体" w:hAnsi="宋体" w:cs="宋体"/>
              </w:rPr>
              <w:t>硬件部分：控制电机、电子助力转向机、转向管柱、方向盘、左前悬挂、右前悬挂、车轮总成、元宝梁、转角盘。</w:t>
            </w:r>
            <w:r>
              <w:rPr>
                <w:rFonts w:hint="eastAsia" w:ascii="宋体" w:hAnsi="宋体" w:cs="宋体"/>
              </w:rPr>
              <w:br w:type="textWrapping"/>
            </w:r>
            <w:r>
              <w:rPr>
                <w:rFonts w:hint="eastAsia" w:ascii="宋体" w:hAnsi="宋体" w:cs="宋体"/>
              </w:rPr>
              <w:t>检测与应用：电路图面板、双向检测端子</w:t>
            </w:r>
            <w:r>
              <w:rPr>
                <w:rFonts w:hint="eastAsia" w:ascii="宋体" w:hAnsi="宋体" w:cs="宋体"/>
              </w:rPr>
              <w:br w:type="textWrapping"/>
            </w:r>
            <w:r>
              <w:rPr>
                <w:rFonts w:hint="eastAsia" w:ascii="宋体" w:hAnsi="宋体" w:cs="宋体"/>
              </w:rPr>
              <w:t>二、产品规格与工艺要求:</w:t>
            </w:r>
            <w:r>
              <w:rPr>
                <w:rFonts w:hint="eastAsia" w:ascii="宋体" w:hAnsi="宋体" w:cs="宋体"/>
              </w:rPr>
              <w:br w:type="textWrapping"/>
            </w:r>
            <w:r>
              <w:rPr>
                <w:rFonts w:hint="eastAsia" w:ascii="宋体" w:hAnsi="宋体" w:cs="宋体"/>
              </w:rPr>
              <w:t>1、外形尺寸（长*宽*高）：（1310mm-1330mm）×（2000mm-2010mm）×（1300mm-1310mm）</w:t>
            </w:r>
            <w:r>
              <w:rPr>
                <w:rFonts w:hint="eastAsia" w:ascii="宋体" w:hAnsi="宋体" w:cs="宋体"/>
              </w:rPr>
              <w:br w:type="textWrapping"/>
            </w:r>
            <w:r>
              <w:rPr>
                <w:rFonts w:hint="eastAsia" w:ascii="宋体" w:hAnsi="宋体" w:cs="宋体"/>
              </w:rPr>
              <w:t>2、工作电压：DC 12V</w:t>
            </w:r>
            <w:r>
              <w:rPr>
                <w:rFonts w:hint="eastAsia" w:ascii="宋体" w:hAnsi="宋体" w:cs="宋体"/>
              </w:rPr>
              <w:br w:type="textWrapping"/>
            </w:r>
            <w:r>
              <w:rPr>
                <w:rFonts w:hint="eastAsia" w:ascii="宋体" w:hAnsi="宋体" w:cs="宋体"/>
              </w:rPr>
              <w:t>3、实训考核系统整体结构美观大方，耐油耐腐蚀，便于清洁。操作面板、立柱、底座采用模块化设计，模具一体成型高强度ABS吸塑外观，内部钢结构支架坚固耐用，电子原器件接线位于立柱等封闭空间内，整机具备安全性与可靠性。</w:t>
            </w:r>
            <w:r>
              <w:rPr>
                <w:rFonts w:hint="eastAsia" w:ascii="宋体" w:hAnsi="宋体" w:cs="宋体"/>
              </w:rPr>
              <w:br w:type="textWrapping"/>
            </w:r>
            <w:r>
              <w:rPr>
                <w:rFonts w:hint="eastAsia" w:ascii="宋体" w:hAnsi="宋体" w:cs="宋体"/>
              </w:rPr>
              <w:t>4、整体台架采用哑光黑色3mm厚ABS吸塑包裹工艺结构美观大方、有足够的机械强度，整体高度1050mm宽1406mm长560mm吸塑R角处可一保证最小厚度大于2mm。</w:t>
            </w:r>
            <w:r>
              <w:rPr>
                <w:rFonts w:hint="eastAsia" w:ascii="宋体" w:hAnsi="宋体" w:cs="宋体"/>
              </w:rPr>
              <w:br w:type="textWrapping"/>
            </w:r>
            <w:r>
              <w:rPr>
                <w:rFonts w:hint="eastAsia" w:ascii="宋体" w:hAnsi="宋体" w:cs="宋体"/>
              </w:rPr>
              <w:t>5、底座ABS吸塑罩盖长1406mm宽327mm高80mm，罩盖采用三面折弯包裹拔模角度为95°最大R角为10mm拔模角度为5°，罩盖上两侧设有凹型物料放置空间，两侧加装两个橙色L型ABS装饰条。</w:t>
            </w:r>
            <w:r>
              <w:rPr>
                <w:rFonts w:hint="eastAsia" w:ascii="宋体" w:hAnsi="宋体" w:cs="宋体"/>
              </w:rPr>
              <w:br w:type="textWrapping"/>
            </w:r>
            <w:r>
              <w:rPr>
                <w:rFonts w:hint="eastAsia" w:ascii="宋体" w:hAnsi="宋体" w:cs="宋体"/>
              </w:rPr>
              <w:t>6、台架后立柱使用组合式哑光黑色3mm厚ABS吸塑罩盖长600mm宽60mm高823mm配合间隙≥2mm，边角R115mm拔模角度为3°，边缘设有L型对接卡槽用于与前立柱结合，内部加装40mmX40mm方钢作为骨架，后吸塑罩盖设计为流线型长盖，立柱上部与下部的角度为88°，</w:t>
            </w:r>
            <w:r>
              <w:rPr>
                <w:rFonts w:hint="eastAsia" w:ascii="宋体" w:hAnsi="宋体" w:cs="宋体"/>
              </w:rPr>
              <w:br w:type="textWrapping"/>
            </w:r>
            <w:r>
              <w:rPr>
                <w:rFonts w:hint="eastAsia" w:ascii="宋体" w:hAnsi="宋体" w:cs="宋体"/>
              </w:rPr>
              <w:t>7、台架前立柱使用组合式哑光黑色3mm厚ABS吸塑罩长607mm宽160mm高772mm配合间隙≥2mm，边角R115mm拔模角度为3°，边缘设有L型对接卡槽用于与后立柱结合，前立柱罩盖中间位置设计有logo凹槽，logo槽外围配置7mm深艺术U型槽作为装饰，两侧配置橘黄色装饰条，前立柱底部设有口子型外设预留孔，可以安装制动踏板、油门踏板等机械装置。前吸塑立柱上部预留φ32mm把手安装孔，吸塑台架配置U字形台架拉手，拉手采用高强度钢管焊接而成把手外面包裹高仿耐磨皮革，皮革采用黑色高韧性尼龙线编花缝接。</w:t>
            </w:r>
            <w:r>
              <w:rPr>
                <w:rFonts w:hint="eastAsia" w:ascii="宋体" w:hAnsi="宋体" w:cs="宋体"/>
              </w:rPr>
              <w:br w:type="textWrapping"/>
            </w:r>
            <w:r>
              <w:rPr>
                <w:rFonts w:hint="eastAsia" w:ascii="宋体" w:hAnsi="宋体" w:cs="宋体"/>
              </w:rPr>
              <w:t>8、操控面板采用黑色哑光3mm厚ABS吸塑一次成型，外部尺寸长1200mm宽520mm高131mm，中间操控板安装位置尺寸长1086mm宽406mm，边角R为5mm拔模角度5°，吸塑操控面板上面边缘设有11mm高一字型流线装饰条纹凹凸别致美观大方。操控面板吸塑内部配置高强度钢骨架，用于与吸塑立柱连接并固定操控面板。</w:t>
            </w:r>
            <w:r>
              <w:rPr>
                <w:rFonts w:hint="eastAsia" w:ascii="宋体" w:hAnsi="宋体" w:cs="宋体"/>
              </w:rPr>
              <w:br w:type="textWrapping"/>
            </w:r>
            <w:r>
              <w:rPr>
                <w:rFonts w:hint="eastAsia" w:ascii="宋体" w:hAnsi="宋体" w:cs="宋体"/>
              </w:rPr>
              <w:t>9、多功能防护罩采用哑光黑色3mm厚ABS吸塑一次成型，长1350mm总宽100mm边缘宽度35mm高510mm，边角R10mm拔模角度为3°。多功能防护罩外型为金子塔样式，中加位置可放置logo，整体防护罩面用四个流线型骨架分为四个区域，下面区域为长35mm宽8mm蜂窝状通气孔，左侧和右侧区域为8mm宽渐变型长条通气孔。左右区域通气孔最上部设有6mm深凹槽可安装橙色装饰条。上部区域设有6mm深一字型流线槽用于增加机械强度和装饰。</w:t>
            </w:r>
            <w:r>
              <w:rPr>
                <w:rFonts w:hint="eastAsia" w:ascii="宋体" w:hAnsi="宋体" w:cs="宋体"/>
              </w:rPr>
              <w:br w:type="textWrapping"/>
            </w:r>
            <w:r>
              <w:rPr>
                <w:rFonts w:hint="eastAsia" w:ascii="宋体" w:hAnsi="宋体" w:cs="宋体"/>
              </w:rPr>
              <w:t>三、产品功能要求:</w:t>
            </w:r>
            <w:r>
              <w:rPr>
                <w:rFonts w:hint="eastAsia" w:ascii="宋体" w:hAnsi="宋体" w:cs="宋体"/>
              </w:rPr>
              <w:br w:type="textWrapping"/>
            </w:r>
            <w:r>
              <w:rPr>
                <w:rFonts w:hint="eastAsia" w:ascii="宋体" w:hAnsi="宋体" w:cs="宋体"/>
              </w:rPr>
              <w:t>1、展示功能：电动汽车车型的EPS电子助力转向系统的组成所有元件取下，合理的摆放在铝型材的台架上，部件清晰可见，即方便对部件认识有方便检测。</w:t>
            </w:r>
            <w:r>
              <w:rPr>
                <w:rFonts w:hint="eastAsia" w:ascii="宋体" w:hAnsi="宋体" w:cs="宋体"/>
              </w:rPr>
              <w:br w:type="textWrapping"/>
            </w:r>
            <w:r>
              <w:rPr>
                <w:rFonts w:hint="eastAsia" w:ascii="宋体" w:hAnsi="宋体" w:cs="宋体"/>
              </w:rPr>
              <w:t>2、动态展示：本设备可以运行，能够实现原车的功能。</w:t>
            </w:r>
            <w:r>
              <w:rPr>
                <w:rFonts w:hint="eastAsia" w:ascii="宋体" w:hAnsi="宋体" w:cs="宋体"/>
              </w:rPr>
              <w:br w:type="textWrapping"/>
            </w:r>
            <w:r>
              <w:rPr>
                <w:rFonts w:hint="eastAsia" w:ascii="宋体" w:hAnsi="宋体" w:cs="宋体"/>
              </w:rPr>
              <w:t>3、工作原理分析：面板上的原理示意图，充分展现了转向系统的结构和工作过程。</w:t>
            </w:r>
            <w:r>
              <w:rPr>
                <w:rFonts w:hint="eastAsia" w:ascii="宋体" w:hAnsi="宋体" w:cs="宋体"/>
              </w:rPr>
              <w:br w:type="textWrapping"/>
            </w:r>
            <w:r>
              <w:rPr>
                <w:rFonts w:hint="eastAsia" w:ascii="宋体" w:hAnsi="宋体" w:cs="宋体"/>
              </w:rPr>
              <w:t>4、检测功能：控制面板上有原车的彩色喷绘电路图，在电路图的连线上安装有双向检测端子，可以对照电路图进行转向系统各个引脚数据的提取。</w:t>
            </w:r>
            <w:r>
              <w:rPr>
                <w:rFonts w:hint="eastAsia" w:ascii="宋体" w:hAnsi="宋体" w:cs="宋体"/>
              </w:rPr>
              <w:br w:type="textWrapping"/>
            </w:r>
            <w:r>
              <w:rPr>
                <w:rFonts w:hint="eastAsia" w:ascii="宋体" w:hAnsi="宋体" w:cs="宋体"/>
              </w:rPr>
              <w:t>5、诊断功能：通过原车诊断插口，可以对转向系统进行诊断。项目为：读取控制单元版本信息、读取故障码、清除故障码、数据流。同时本实训设备支持示波器的波形提取。</w:t>
            </w:r>
            <w:r>
              <w:rPr>
                <w:rFonts w:hint="eastAsia" w:ascii="宋体" w:hAnsi="宋体" w:cs="宋体"/>
              </w:rPr>
              <w:br w:type="textWrapping"/>
            </w:r>
            <w:r>
              <w:rPr>
                <w:rFonts w:hint="eastAsia" w:ascii="宋体" w:hAnsi="宋体" w:cs="宋体"/>
              </w:rPr>
              <w:t>6、能与电动汽车电池管理实训考核系统、电动汽车驱动电机实训考核系统、电动汽车主控制器实训考核系统、电动汽车空调实训考核系统和电动汽车车身电器实训考核系统配套使用。</w:t>
            </w:r>
            <w:r>
              <w:rPr>
                <w:rFonts w:hint="eastAsia" w:ascii="宋体" w:hAnsi="宋体" w:cs="宋体"/>
              </w:rPr>
              <w:br w:type="textWrapping"/>
            </w:r>
            <w:r>
              <w:rPr>
                <w:rFonts w:hint="eastAsia" w:ascii="宋体" w:hAnsi="宋体" w:cs="宋体"/>
              </w:rPr>
              <w:t>四、教学及实训项目：</w:t>
            </w:r>
            <w:r>
              <w:rPr>
                <w:rFonts w:hint="eastAsia" w:ascii="宋体" w:hAnsi="宋体" w:cs="宋体"/>
              </w:rPr>
              <w:br w:type="textWrapping"/>
            </w:r>
            <w:r>
              <w:rPr>
                <w:rFonts w:hint="eastAsia" w:ascii="宋体" w:hAnsi="宋体" w:cs="宋体"/>
              </w:rPr>
              <w:t>1、电动汽车车型的电子助力转向系统原件认知</w:t>
            </w:r>
            <w:r>
              <w:rPr>
                <w:rFonts w:hint="eastAsia" w:ascii="宋体" w:hAnsi="宋体" w:cs="宋体"/>
              </w:rPr>
              <w:br w:type="textWrapping"/>
            </w:r>
            <w:r>
              <w:rPr>
                <w:rFonts w:hint="eastAsia" w:ascii="宋体" w:hAnsi="宋体" w:cs="宋体"/>
              </w:rPr>
              <w:t>2、电动汽车电子助力转向系统转向机结构及工作原理</w:t>
            </w:r>
            <w:r>
              <w:rPr>
                <w:rFonts w:hint="eastAsia" w:ascii="宋体" w:hAnsi="宋体" w:cs="宋体"/>
              </w:rPr>
              <w:br w:type="textWrapping"/>
            </w:r>
            <w:r>
              <w:rPr>
                <w:rFonts w:hint="eastAsia" w:ascii="宋体" w:hAnsi="宋体" w:cs="宋体"/>
              </w:rPr>
              <w:t>3、电动汽车电子助力转向系统转向助力控制工作原理</w:t>
            </w:r>
            <w:r>
              <w:rPr>
                <w:rFonts w:hint="eastAsia" w:ascii="宋体" w:hAnsi="宋体" w:cs="宋体"/>
              </w:rPr>
              <w:br w:type="textWrapping"/>
            </w:r>
            <w:r>
              <w:rPr>
                <w:rFonts w:hint="eastAsia" w:ascii="宋体" w:hAnsi="宋体" w:cs="宋体"/>
              </w:rPr>
              <w:t>4、电动汽车电子助力转向系统扭力传感器结构及工作原理</w:t>
            </w:r>
            <w:r>
              <w:rPr>
                <w:rFonts w:hint="eastAsia" w:ascii="宋体" w:hAnsi="宋体" w:cs="宋体"/>
              </w:rPr>
              <w:br w:type="textWrapping"/>
            </w:r>
            <w:r>
              <w:rPr>
                <w:rFonts w:hint="eastAsia" w:ascii="宋体" w:hAnsi="宋体" w:cs="宋体"/>
              </w:rPr>
              <w:t>5、电动汽车电子助力转向系统线路检测</w:t>
            </w:r>
            <w:r>
              <w:rPr>
                <w:rFonts w:hint="eastAsia" w:ascii="宋体" w:hAnsi="宋体" w:cs="宋体"/>
              </w:rPr>
              <w:br w:type="textWrapping"/>
            </w:r>
            <w:r>
              <w:rPr>
                <w:rFonts w:hint="eastAsia" w:ascii="宋体" w:hAnsi="宋体" w:cs="宋体"/>
              </w:rPr>
              <w:t>6、电动汽车电子助力转向系统诊断仪检测</w:t>
            </w:r>
            <w:r>
              <w:rPr>
                <w:rFonts w:hint="eastAsia" w:ascii="宋体" w:hAnsi="宋体" w:cs="宋体"/>
              </w:rPr>
              <w:br w:type="textWrapping"/>
            </w:r>
            <w:r>
              <w:rPr>
                <w:rFonts w:hint="eastAsia" w:ascii="宋体" w:hAnsi="宋体" w:cs="宋体"/>
              </w:rPr>
              <w:t>7、电动汽车电子转向系统数据分析</w:t>
            </w:r>
            <w:r>
              <w:rPr>
                <w:rFonts w:hint="eastAsia" w:ascii="宋体" w:hAnsi="宋体" w:cs="宋体"/>
              </w:rPr>
              <w:br w:type="textWrapping"/>
            </w:r>
            <w:r>
              <w:rPr>
                <w:rFonts w:hint="eastAsia" w:ascii="宋体" w:hAnsi="宋体" w:cs="宋体"/>
              </w:rPr>
              <w:t>8、电动汽车电子转向系统故障检测</w:t>
            </w:r>
            <w:r>
              <w:rPr>
                <w:rFonts w:hint="eastAsia" w:ascii="宋体" w:hAnsi="宋体" w:cs="宋体"/>
              </w:rPr>
              <w:br w:type="textWrapping"/>
            </w:r>
            <w:r>
              <w:rPr>
                <w:rFonts w:hint="eastAsia" w:ascii="宋体" w:hAnsi="宋体" w:cs="宋体"/>
              </w:rPr>
              <w:t>9、电动汽车电子转向系统故障分析</w:t>
            </w:r>
            <w:r>
              <w:rPr>
                <w:rFonts w:hint="eastAsia" w:ascii="宋体" w:hAnsi="宋体" w:cs="宋体"/>
              </w:rPr>
              <w:br w:type="textWrapping"/>
            </w:r>
            <w:r>
              <w:rPr>
                <w:rFonts w:hint="eastAsia" w:ascii="宋体" w:hAnsi="宋体" w:cs="宋体"/>
              </w:rPr>
              <w:t>10、有助力转向与无助力转向的操作区别</w:t>
            </w:r>
          </w:p>
        </w:tc>
        <w:tc>
          <w:tcPr>
            <w:tcW w:w="357" w:type="pct"/>
            <w:vAlign w:val="center"/>
          </w:tcPr>
          <w:p w14:paraId="4F340E9E">
            <w:pPr>
              <w:jc w:val="center"/>
              <w:rPr>
                <w:rFonts w:hint="eastAsia" w:ascii="宋体" w:hAnsi="宋体" w:cs="宋体"/>
                <w:szCs w:val="21"/>
              </w:rPr>
            </w:pPr>
            <w:r>
              <w:rPr>
                <w:rFonts w:hint="eastAsia" w:ascii="宋体" w:hAnsi="宋体" w:cs="宋体"/>
                <w:szCs w:val="21"/>
              </w:rPr>
              <w:t>1</w:t>
            </w:r>
          </w:p>
        </w:tc>
        <w:tc>
          <w:tcPr>
            <w:tcW w:w="341" w:type="pct"/>
            <w:vAlign w:val="center"/>
          </w:tcPr>
          <w:p w14:paraId="1B219C1E">
            <w:pPr>
              <w:jc w:val="center"/>
              <w:rPr>
                <w:rFonts w:hint="eastAsia" w:ascii="宋体" w:hAnsi="宋体" w:cs="宋体"/>
                <w:szCs w:val="21"/>
              </w:rPr>
            </w:pPr>
            <w:r>
              <w:rPr>
                <w:rFonts w:hint="eastAsia" w:ascii="宋体" w:hAnsi="宋体" w:cs="宋体"/>
                <w:szCs w:val="21"/>
              </w:rPr>
              <w:t>套</w:t>
            </w:r>
          </w:p>
        </w:tc>
      </w:tr>
      <w:tr w14:paraId="015A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7FB1D668">
            <w:pPr>
              <w:jc w:val="center"/>
              <w:rPr>
                <w:rFonts w:hint="eastAsia" w:ascii="宋体" w:hAnsi="宋体" w:cs="宋体"/>
                <w:b/>
                <w:bCs/>
                <w:szCs w:val="21"/>
              </w:rPr>
            </w:pPr>
            <w:r>
              <w:rPr>
                <w:rFonts w:hint="eastAsia" w:ascii="宋体" w:hAnsi="宋体" w:cs="宋体"/>
                <w:szCs w:val="21"/>
              </w:rPr>
              <w:t>24</w:t>
            </w:r>
          </w:p>
        </w:tc>
        <w:tc>
          <w:tcPr>
            <w:tcW w:w="536" w:type="pct"/>
            <w:vAlign w:val="center"/>
          </w:tcPr>
          <w:p w14:paraId="647B42E6">
            <w:pPr>
              <w:pStyle w:val="80"/>
              <w:jc w:val="center"/>
              <w:rPr>
                <w:rFonts w:hint="eastAsia" w:ascii="宋体" w:hAnsi="宋体" w:cs="宋体"/>
              </w:rPr>
            </w:pPr>
            <w:r>
              <w:rPr>
                <w:rFonts w:hint="eastAsia" w:ascii="宋体" w:hAnsi="宋体" w:cs="宋体"/>
              </w:rPr>
              <w:t>插电式混合动力汽车驱动电机控制实训教学系统</w:t>
            </w:r>
          </w:p>
        </w:tc>
        <w:tc>
          <w:tcPr>
            <w:tcW w:w="3571" w:type="pct"/>
            <w:vAlign w:val="center"/>
          </w:tcPr>
          <w:p w14:paraId="67C259C7">
            <w:pPr>
              <w:pStyle w:val="80"/>
              <w:ind w:left="105" w:leftChars="50"/>
              <w:jc w:val="left"/>
              <w:rPr>
                <w:rFonts w:hint="eastAsia" w:ascii="宋体" w:hAnsi="宋体" w:cs="宋体"/>
              </w:rPr>
            </w:pPr>
            <w:r>
              <w:rPr>
                <w:rFonts w:hint="eastAsia" w:ascii="宋体" w:hAnsi="宋体" w:cs="宋体"/>
              </w:rPr>
              <w:t>一、产品组成要求:</w:t>
            </w:r>
            <w:r>
              <w:rPr>
                <w:rFonts w:hint="eastAsia" w:ascii="宋体" w:hAnsi="宋体" w:cs="宋体"/>
              </w:rPr>
              <w:br w:type="textWrapping"/>
            </w:r>
            <w:r>
              <w:rPr>
                <w:rFonts w:hint="eastAsia" w:ascii="宋体" w:hAnsi="宋体" w:cs="宋体"/>
              </w:rPr>
              <w:t>1、采用涡轮增压发动机、最大功率≥110Kw、最大扭矩≥250N.m、最大马力≥150Ps配置6挡湿式双离合变速箱。</w:t>
            </w:r>
            <w:r>
              <w:rPr>
                <w:rFonts w:hint="eastAsia" w:ascii="宋体" w:hAnsi="宋体" w:cs="宋体"/>
              </w:rPr>
              <w:br w:type="textWrapping"/>
            </w:r>
            <w:r>
              <w:rPr>
                <w:rFonts w:hint="eastAsia" w:ascii="宋体" w:hAnsi="宋体" w:cs="宋体"/>
              </w:rPr>
              <w:t>2、采用电动机总功率≥85kW、电动机总扭矩≥330N.m的永磁同步电机及旋转变压器、减速变速器、半轴及驱动轮等组成系统。</w:t>
            </w:r>
            <w:r>
              <w:rPr>
                <w:rFonts w:hint="eastAsia" w:ascii="宋体" w:hAnsi="宋体" w:cs="宋体"/>
              </w:rPr>
              <w:br w:type="textWrapping"/>
            </w:r>
            <w:r>
              <w:rPr>
                <w:rFonts w:hint="eastAsia" w:ascii="宋体" w:hAnsi="宋体" w:cs="宋体"/>
              </w:rPr>
              <w:t>3、制动系统：制动总泵、ESP电子控制单元、制动分泵等。</w:t>
            </w:r>
            <w:r>
              <w:rPr>
                <w:rFonts w:hint="eastAsia" w:ascii="宋体" w:hAnsi="宋体" w:cs="宋体"/>
              </w:rPr>
              <w:br w:type="textWrapping"/>
            </w:r>
            <w:r>
              <w:rPr>
                <w:rFonts w:hint="eastAsia" w:ascii="宋体" w:hAnsi="宋体" w:cs="宋体"/>
              </w:rPr>
              <w:t>4、电机驱动系统传感器部分：档位传感器、P档开关、油门控制装置、制动开关、制动踏板深度传感器点火开关、组合仪表等。</w:t>
            </w:r>
            <w:r>
              <w:rPr>
                <w:rFonts w:hint="eastAsia" w:ascii="宋体" w:hAnsi="宋体" w:cs="宋体"/>
              </w:rPr>
              <w:br w:type="textWrapping"/>
            </w:r>
            <w:r>
              <w:rPr>
                <w:rFonts w:hint="eastAsia" w:ascii="宋体" w:hAnsi="宋体" w:cs="宋体"/>
              </w:rPr>
              <w:t>5、控制面板部分：电路图版、双向检测端子。</w:t>
            </w:r>
            <w:r>
              <w:rPr>
                <w:rFonts w:hint="eastAsia" w:ascii="宋体" w:hAnsi="宋体" w:cs="宋体"/>
              </w:rPr>
              <w:br w:type="textWrapping"/>
            </w:r>
            <w:r>
              <w:rPr>
                <w:rFonts w:hint="eastAsia" w:ascii="宋体" w:hAnsi="宋体" w:cs="宋体"/>
              </w:rPr>
              <w:t>6、配置网络在线考试系统：</w:t>
            </w:r>
            <w:r>
              <w:rPr>
                <w:rFonts w:hint="eastAsia" w:ascii="宋体" w:hAnsi="宋体" w:cs="宋体"/>
              </w:rPr>
              <w:br w:type="textWrapping"/>
            </w:r>
            <w:r>
              <w:rPr>
                <w:rFonts w:hint="eastAsia" w:ascii="宋体" w:hAnsi="宋体" w:cs="宋体"/>
              </w:rPr>
              <w:t>网络在线考试系统采用安卓系统与蓝牙无线网络为基础，集成故障设置、APP软件可在任意安卓系统的智能手机或平板电脑上运行。系统主要由无线故障设置系统和触摸屏的故障考核系统两部分组成，教师在讲课时，用带安卓系统的手机或平板电脑远程无线设置故障，方便教师教学讲课。学生考核可在触摸屏故障考核系统上完成。</w:t>
            </w:r>
            <w:r>
              <w:rPr>
                <w:rFonts w:hint="eastAsia" w:ascii="宋体" w:hAnsi="宋体" w:cs="宋体"/>
              </w:rPr>
              <w:br w:type="textWrapping"/>
            </w:r>
            <w:r>
              <w:rPr>
                <w:rFonts w:hint="eastAsia" w:ascii="宋体" w:hAnsi="宋体" w:cs="宋体"/>
              </w:rPr>
              <w:t>6.1配备5寸触摸控制屏：触摸屏内安装考核管理系统软件，具有教师登录界面和学生登录界面，教师登录界面配有考核故障设置、考核时间设置、登录密码设置、考核成绩查询、用户信息设置功能。</w:t>
            </w:r>
            <w:r>
              <w:rPr>
                <w:rFonts w:hint="eastAsia" w:ascii="宋体" w:hAnsi="宋体" w:cs="宋体"/>
              </w:rPr>
              <w:br w:type="textWrapping"/>
            </w:r>
            <w:r>
              <w:rPr>
                <w:rFonts w:hint="eastAsia" w:ascii="宋体" w:hAnsi="宋体" w:cs="宋体"/>
              </w:rPr>
              <w:t>6.2通过智能化故障设置器对设备相关控制线路进行断路故障设置，通过所设置的故障对设备进行故障诊断与排除:断路故障设置可以设置最少20路的故障,虚接故障设置可以设置最少20路的故障,短路故障设置可以设置最少6路的信号对地短路故障。（注:此实训台只用断路故障功能）</w:t>
            </w:r>
            <w:r>
              <w:rPr>
                <w:rFonts w:hint="eastAsia" w:ascii="宋体" w:hAnsi="宋体" w:cs="宋体"/>
              </w:rPr>
              <w:br w:type="textWrapping"/>
            </w:r>
            <w:r>
              <w:rPr>
                <w:rFonts w:hint="eastAsia" w:ascii="宋体" w:hAnsi="宋体" w:cs="宋体"/>
              </w:rPr>
              <w:t>6.3故障名称设置功能可以把故障名称自定义编辑命名,所有故障设置界面都具有“全部设置”“全部清除”功能。</w:t>
            </w:r>
            <w:r>
              <w:rPr>
                <w:rFonts w:hint="eastAsia" w:ascii="宋体" w:hAnsi="宋体" w:cs="宋体"/>
              </w:rPr>
              <w:br w:type="textWrapping"/>
            </w:r>
            <w:r>
              <w:rPr>
                <w:rFonts w:hint="eastAsia" w:ascii="宋体" w:hAnsi="宋体" w:cs="宋体"/>
              </w:rPr>
              <w:t>6.4故障设置器板采用LM2596S电源芯片输入输出做反接保护处理，主控制芯片采用双12C5A08S2系列单片机，采用SRA-12VDC-CL大电流继电器作为故障设置开关，继电器使用ULN2803APG芯片控制线圈引脚。故障设置器所有故障点都安装故障指示灯并能够外接，每块故障设置器板都预留启动控制接口方便功能拓展。</w:t>
            </w:r>
            <w:r>
              <w:rPr>
                <w:rFonts w:hint="eastAsia" w:ascii="宋体" w:hAnsi="宋体" w:cs="宋体"/>
              </w:rPr>
              <w:br w:type="textWrapping"/>
            </w:r>
            <w:r>
              <w:rPr>
                <w:rFonts w:hint="eastAsia" w:ascii="宋体" w:hAnsi="宋体" w:cs="宋体"/>
              </w:rPr>
              <w:t>6.5故障设置器具有可拓展功能，最大允许扩容的100路故障。故障设置器主通讯板尺寸长153mm宽86mm，继电器板长205mm宽177mm。</w:t>
            </w:r>
            <w:r>
              <w:rPr>
                <w:rFonts w:hint="eastAsia" w:ascii="宋体" w:hAnsi="宋体" w:cs="宋体"/>
              </w:rPr>
              <w:br w:type="textWrapping"/>
            </w:r>
            <w:r>
              <w:rPr>
                <w:rFonts w:hint="eastAsia" w:ascii="宋体" w:hAnsi="宋体" w:cs="宋体"/>
              </w:rPr>
              <w:t>二、产品规格与工艺要求:</w:t>
            </w:r>
            <w:r>
              <w:rPr>
                <w:rFonts w:hint="eastAsia" w:ascii="宋体" w:hAnsi="宋体" w:cs="宋体"/>
              </w:rPr>
              <w:br w:type="textWrapping"/>
            </w:r>
            <w:r>
              <w:rPr>
                <w:rFonts w:hint="eastAsia" w:ascii="宋体" w:hAnsi="宋体" w:cs="宋体"/>
              </w:rPr>
              <w:t>1、外形尺寸（长*宽*高）：（1200mm-1210mm）×（1400mm-1410mm）×（1100mm-1110mm）</w:t>
            </w:r>
            <w:r>
              <w:rPr>
                <w:rFonts w:hint="eastAsia" w:ascii="宋体" w:hAnsi="宋体" w:cs="宋体"/>
              </w:rPr>
              <w:br w:type="textWrapping"/>
            </w:r>
            <w:r>
              <w:rPr>
                <w:rFonts w:hint="eastAsia" w:ascii="宋体" w:hAnsi="宋体" w:cs="宋体"/>
              </w:rPr>
              <w:t>2、工作电源：低压DC12V,高压653V，</w:t>
            </w:r>
            <w:r>
              <w:rPr>
                <w:rFonts w:hint="eastAsia" w:ascii="宋体" w:hAnsi="宋体" w:cs="宋体"/>
              </w:rPr>
              <w:br w:type="textWrapping"/>
            </w:r>
            <w:r>
              <w:rPr>
                <w:rFonts w:hint="eastAsia" w:ascii="宋体" w:hAnsi="宋体" w:cs="宋体"/>
              </w:rPr>
              <w:t>3、整体台架采用哑光黑色3mm厚ABS吸塑包裹工艺结构美观大方、有足够的机械强度，整体高度1050mm宽1406mm长560mm吸塑R角处可一保证最小厚度大于2mm， 4、底座ABS吸塑罩盖长1406mm宽327mm高80mm，罩盖采用三面折弯包裹拔模角度为95°最大R角为10mm拔模角度为5°，罩盖上两侧设有凹型物料放置空间，两侧加装两个橙色L型ABS装饰条。</w:t>
            </w:r>
            <w:r>
              <w:rPr>
                <w:rFonts w:hint="eastAsia" w:ascii="宋体" w:hAnsi="宋体" w:cs="宋体"/>
              </w:rPr>
              <w:br w:type="textWrapping"/>
            </w:r>
            <w:r>
              <w:rPr>
                <w:rFonts w:hint="eastAsia" w:ascii="宋体" w:hAnsi="宋体" w:cs="宋体"/>
              </w:rPr>
              <w:t>5、台架后立柱使用组合式哑光黑色3mm厚ABS吸塑罩盖长600mm宽60mm高823mm配合间隙≥2mm，边角R115mm拔模角度为3°，边缘设有L型对接卡槽用于与前立柱结合，内部加装40mmX40mm方钢作为骨架，后吸塑罩盖设计为流线型长盖，立柱上部与下部的角度为88°，</w:t>
            </w:r>
            <w:r>
              <w:rPr>
                <w:rFonts w:hint="eastAsia" w:ascii="宋体" w:hAnsi="宋体" w:cs="宋体"/>
              </w:rPr>
              <w:br w:type="textWrapping"/>
            </w:r>
            <w:r>
              <w:rPr>
                <w:rFonts w:hint="eastAsia" w:ascii="宋体" w:hAnsi="宋体" w:cs="宋体"/>
              </w:rPr>
              <w:t>6、台架前立柱使用组合式哑光黑色3mm厚ABS吸塑罩长607mm宽160mm高772mm配合间隙≥2mm，边角R115mm拔模角度为3°，边缘设有L型对接卡槽用于与后立柱结合，前立柱罩盖中间位置设计有logo凹槽，logo槽外围配置7mm深艺术U型槽作为装饰，两侧配置橘黄色装饰条，前立柱底部设有口子型外设预留孔，可以安装制动踏板、油门踏板等机械装置。前吸塑立柱上部预留φ32mm把手安装孔，吸塑台架配置U字形台架拉手，拉手采用高强度钢管焊接而成把手外面包裹高仿耐磨皮革，皮革采用黑色高韧性尼龙线编花缝接。</w:t>
            </w:r>
            <w:r>
              <w:rPr>
                <w:rFonts w:hint="eastAsia" w:ascii="宋体" w:hAnsi="宋体" w:cs="宋体"/>
              </w:rPr>
              <w:br w:type="textWrapping"/>
            </w:r>
            <w:r>
              <w:rPr>
                <w:rFonts w:hint="eastAsia" w:ascii="宋体" w:hAnsi="宋体" w:cs="宋体"/>
              </w:rPr>
              <w:t>7、操控面板采用黑色哑光3mm厚ABS吸塑一次成型，外部尺寸长1200mm宽520mm高131mm，中间操控板安装位置尺寸长1086mm宽406mm，边角R为5mm拔模角度5°，吸塑操控面板上面边缘设有11mm高一字型流线装饰条纹凹凸别致美观大方。操控面板吸塑内部配置高强度钢骨架，用于与吸塑立柱连接并固定操控面板。</w:t>
            </w:r>
            <w:r>
              <w:rPr>
                <w:rFonts w:hint="eastAsia" w:ascii="宋体" w:hAnsi="宋体" w:cs="宋体"/>
              </w:rPr>
              <w:br w:type="textWrapping"/>
            </w:r>
            <w:r>
              <w:rPr>
                <w:rFonts w:hint="eastAsia" w:ascii="宋体" w:hAnsi="宋体" w:cs="宋体"/>
              </w:rPr>
              <w:t>8、多功能防护罩采用哑光黑色3mm厚ABS吸塑一次成型，长1350mm总宽100mm边缘宽度35mm高510mm，边角R10mm拔模角度为3°。多功能防护罩外型为金子塔样式，中加位置可放置logo，整体防护罩面用四个流线型骨架分为四个区域，下面区域为长35mm宽8mm蜂窝状通气孔，左侧和右侧区域为8mm宽渐变型长条通气孔。左右区域通气孔最上部设有6mm深凹槽可安装橙色装饰条。上部区域设有6mm深一字型流线槽用于增加机械强度和装饰。</w:t>
            </w:r>
            <w:r>
              <w:rPr>
                <w:rFonts w:hint="eastAsia" w:ascii="宋体" w:hAnsi="宋体" w:cs="宋体"/>
              </w:rPr>
              <w:br w:type="textWrapping"/>
            </w:r>
            <w:r>
              <w:rPr>
                <w:rFonts w:hint="eastAsia" w:ascii="宋体" w:hAnsi="宋体" w:cs="宋体"/>
              </w:rPr>
              <w:t>三、产品功能要求:</w:t>
            </w:r>
            <w:r>
              <w:rPr>
                <w:rFonts w:hint="eastAsia" w:ascii="宋体" w:hAnsi="宋体" w:cs="宋体"/>
              </w:rPr>
              <w:br w:type="textWrapping"/>
            </w:r>
            <w:r>
              <w:rPr>
                <w:rFonts w:hint="eastAsia" w:ascii="宋体" w:hAnsi="宋体" w:cs="宋体"/>
              </w:rPr>
              <w:t>1.展示功能：实训考核系统可以启动运行，充分展示插电式混合动力汽车驱动系统按照原车布置，全部采用原车部件包括电机驱动系统的所有相关电子控制单元及传感器、电机驱动系统、电机及变速器硬件、制动系统原件、燃油驱动系统总成组成全部展示出来。</w:t>
            </w:r>
            <w:r>
              <w:rPr>
                <w:rFonts w:hint="eastAsia" w:ascii="宋体" w:hAnsi="宋体" w:cs="宋体"/>
              </w:rPr>
              <w:br w:type="textWrapping"/>
            </w:r>
            <w:r>
              <w:rPr>
                <w:rFonts w:hint="eastAsia" w:ascii="宋体" w:hAnsi="宋体" w:cs="宋体"/>
              </w:rPr>
              <w:t>2.运行工况分析功能：踏下制动踏板,开启点火开关即可挂档使设备运行，可以实现启动工况、待机工况、急加速工况、急减速工况、一般工况、制动工况。各种工况配合仪表显示既可以获得驱动电机与电池之间的逻辑关系，为电机驱动系统的工作原理分析提供帮助。</w:t>
            </w:r>
            <w:r>
              <w:rPr>
                <w:rFonts w:hint="eastAsia" w:ascii="宋体" w:hAnsi="宋体" w:cs="宋体"/>
              </w:rPr>
              <w:br w:type="textWrapping"/>
            </w:r>
            <w:r>
              <w:rPr>
                <w:rFonts w:hint="eastAsia" w:ascii="宋体" w:hAnsi="宋体" w:cs="宋体"/>
              </w:rPr>
              <w:t>3.工作原理分析功能对驱动系统不同的工况下工作过程，各个工况切换，工作原件之间是如何切换的。</w:t>
            </w:r>
            <w:r>
              <w:rPr>
                <w:rFonts w:hint="eastAsia" w:ascii="宋体" w:hAnsi="宋体" w:cs="宋体"/>
              </w:rPr>
              <w:br w:type="textWrapping"/>
            </w:r>
            <w:r>
              <w:rPr>
                <w:rFonts w:hint="eastAsia" w:ascii="宋体" w:hAnsi="宋体" w:cs="宋体"/>
              </w:rPr>
              <w:t>4.实时显示功能：实训考核系统面板上安装有原车仪表，可实时显示上电状态、高压电池荷电量SOC、输出功率、时速及续航里程电控系统故障指示灯等参数变化。</w:t>
            </w:r>
            <w:r>
              <w:rPr>
                <w:rFonts w:hint="eastAsia" w:ascii="宋体" w:hAnsi="宋体" w:cs="宋体"/>
              </w:rPr>
              <w:br w:type="textWrapping"/>
            </w:r>
            <w:r>
              <w:rPr>
                <w:rFonts w:hint="eastAsia" w:ascii="宋体" w:hAnsi="宋体" w:cs="宋体"/>
              </w:rPr>
              <w:t>5.诊断仪检测功能：本设备支持通用汽车诊断仪及专用汽车诊断仪的检测，可以进行系统的版本信息读取、故障存储器的读取、故障码的清除、数据流的读取。</w:t>
            </w:r>
            <w:r>
              <w:rPr>
                <w:rFonts w:hint="eastAsia" w:ascii="宋体" w:hAnsi="宋体" w:cs="宋体"/>
              </w:rPr>
              <w:br w:type="textWrapping"/>
            </w:r>
            <w:r>
              <w:rPr>
                <w:rFonts w:hint="eastAsia" w:ascii="宋体" w:hAnsi="宋体" w:cs="宋体"/>
              </w:rPr>
              <w:t>6.实训考核系统外部运行部件运转系统和水箱都有安全防护装置。</w:t>
            </w:r>
            <w:r>
              <w:rPr>
                <w:rFonts w:hint="eastAsia" w:ascii="宋体" w:hAnsi="宋体" w:cs="宋体"/>
              </w:rPr>
              <w:br w:type="textWrapping"/>
            </w:r>
            <w:r>
              <w:rPr>
                <w:rFonts w:hint="eastAsia" w:ascii="宋体" w:hAnsi="宋体" w:cs="宋体"/>
              </w:rPr>
              <w:t>四、教学及实训项目:</w:t>
            </w:r>
            <w:r>
              <w:rPr>
                <w:rFonts w:hint="eastAsia" w:ascii="宋体" w:hAnsi="宋体" w:cs="宋体"/>
              </w:rPr>
              <w:br w:type="textWrapping"/>
            </w:r>
            <w:r>
              <w:rPr>
                <w:rFonts w:hint="eastAsia" w:ascii="宋体" w:hAnsi="宋体" w:cs="宋体"/>
              </w:rPr>
              <w:t>1、插电式混合动力总成驱动原理方式；</w:t>
            </w:r>
            <w:r>
              <w:rPr>
                <w:rFonts w:hint="eastAsia" w:ascii="宋体" w:hAnsi="宋体" w:cs="宋体"/>
              </w:rPr>
              <w:br w:type="textWrapping"/>
            </w:r>
            <w:r>
              <w:rPr>
                <w:rFonts w:hint="eastAsia" w:ascii="宋体" w:hAnsi="宋体" w:cs="宋体"/>
              </w:rPr>
              <w:t>2、掌握电动机与发动机驱动控制逻辑结构学习；</w:t>
            </w:r>
            <w:r>
              <w:rPr>
                <w:rFonts w:hint="eastAsia" w:ascii="宋体" w:hAnsi="宋体" w:cs="宋体"/>
              </w:rPr>
              <w:br w:type="textWrapping"/>
            </w:r>
            <w:r>
              <w:rPr>
                <w:rFonts w:hint="eastAsia" w:ascii="宋体" w:hAnsi="宋体" w:cs="宋体"/>
              </w:rPr>
              <w:t>3、汽车电机及电机控制器高压安全操作实训；</w:t>
            </w:r>
          </w:p>
        </w:tc>
        <w:tc>
          <w:tcPr>
            <w:tcW w:w="357" w:type="pct"/>
            <w:vAlign w:val="center"/>
          </w:tcPr>
          <w:p w14:paraId="25FB1A89">
            <w:pPr>
              <w:jc w:val="center"/>
              <w:rPr>
                <w:rFonts w:hint="eastAsia" w:ascii="宋体" w:hAnsi="宋体" w:cs="宋体"/>
                <w:szCs w:val="21"/>
              </w:rPr>
            </w:pPr>
            <w:r>
              <w:rPr>
                <w:rFonts w:hint="eastAsia" w:ascii="宋体" w:hAnsi="宋体" w:cs="宋体"/>
                <w:szCs w:val="21"/>
              </w:rPr>
              <w:t>1</w:t>
            </w:r>
          </w:p>
        </w:tc>
        <w:tc>
          <w:tcPr>
            <w:tcW w:w="341" w:type="pct"/>
            <w:vAlign w:val="center"/>
          </w:tcPr>
          <w:p w14:paraId="2D35BB2F">
            <w:pPr>
              <w:jc w:val="center"/>
              <w:rPr>
                <w:rFonts w:hint="eastAsia" w:ascii="宋体" w:hAnsi="宋体" w:cs="宋体"/>
                <w:szCs w:val="21"/>
              </w:rPr>
            </w:pPr>
            <w:r>
              <w:rPr>
                <w:rFonts w:hint="eastAsia" w:ascii="宋体" w:hAnsi="宋体" w:cs="宋体"/>
                <w:szCs w:val="21"/>
              </w:rPr>
              <w:t>套</w:t>
            </w:r>
          </w:p>
        </w:tc>
      </w:tr>
      <w:tr w14:paraId="5116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120B0601">
            <w:pPr>
              <w:jc w:val="center"/>
              <w:rPr>
                <w:rFonts w:hint="eastAsia" w:ascii="宋体" w:hAnsi="宋体" w:cs="宋体"/>
                <w:b/>
                <w:bCs/>
                <w:szCs w:val="21"/>
              </w:rPr>
            </w:pPr>
            <w:r>
              <w:rPr>
                <w:rFonts w:hint="eastAsia" w:ascii="宋体" w:hAnsi="宋体" w:cs="宋体"/>
                <w:szCs w:val="21"/>
              </w:rPr>
              <w:t>25</w:t>
            </w:r>
          </w:p>
        </w:tc>
        <w:tc>
          <w:tcPr>
            <w:tcW w:w="536" w:type="pct"/>
            <w:vAlign w:val="center"/>
          </w:tcPr>
          <w:p w14:paraId="4BF21B8C">
            <w:pPr>
              <w:pStyle w:val="80"/>
              <w:jc w:val="center"/>
              <w:rPr>
                <w:rFonts w:hint="eastAsia" w:ascii="宋体" w:hAnsi="宋体" w:cs="宋体"/>
              </w:rPr>
            </w:pPr>
            <w:r>
              <w:rPr>
                <w:rFonts w:hint="eastAsia" w:ascii="宋体" w:hAnsi="宋体" w:cs="宋体"/>
              </w:rPr>
              <w:t>新能源汽车驱动电机VR智能教学软件系统</w:t>
            </w:r>
          </w:p>
        </w:tc>
        <w:tc>
          <w:tcPr>
            <w:tcW w:w="3571" w:type="pct"/>
            <w:vAlign w:val="center"/>
          </w:tcPr>
          <w:p w14:paraId="22179E45">
            <w:pPr>
              <w:pStyle w:val="80"/>
              <w:ind w:left="105" w:leftChars="50"/>
              <w:jc w:val="left"/>
              <w:rPr>
                <w:rFonts w:hint="eastAsia" w:ascii="宋体" w:hAnsi="宋体" w:cs="宋体"/>
              </w:rPr>
            </w:pPr>
            <w:r>
              <w:rPr>
                <w:rFonts w:hint="eastAsia" w:ascii="宋体" w:hAnsi="宋体" w:cs="宋体"/>
              </w:rPr>
              <w:t>一、功能要求：</w:t>
            </w:r>
            <w:r>
              <w:rPr>
                <w:rFonts w:hint="eastAsia" w:ascii="宋体" w:hAnsi="宋体" w:cs="宋体"/>
              </w:rPr>
              <w:br w:type="textWrapping"/>
            </w:r>
            <w:r>
              <w:rPr>
                <w:rFonts w:hint="eastAsia" w:ascii="宋体" w:hAnsi="宋体" w:cs="宋体"/>
              </w:rPr>
              <w:t>1、VR虚拟现实的方式展示新能源汽车驱动电机结构原理以及在实车上的位置。从宏观到微观讲解新能源汽车，可以根据讲解进度进行同步实训、可以学习系统的基本原理、对所学内容及时考核。</w:t>
            </w:r>
            <w:r>
              <w:rPr>
                <w:rFonts w:hint="eastAsia" w:ascii="宋体" w:hAnsi="宋体" w:cs="宋体"/>
              </w:rPr>
              <w:br w:type="textWrapping"/>
            </w:r>
            <w:r>
              <w:rPr>
                <w:rFonts w:hint="eastAsia" w:ascii="宋体" w:hAnsi="宋体" w:cs="宋体"/>
              </w:rPr>
              <w:t>2、电机模块主要展示电机各部件的认知和结构原理，代替老师讲解新能源汽车驱动电机结构各零部件作用。</w:t>
            </w:r>
            <w:r>
              <w:rPr>
                <w:rFonts w:hint="eastAsia" w:ascii="宋体" w:hAnsi="宋体" w:cs="宋体"/>
              </w:rPr>
              <w:br w:type="textWrapping"/>
            </w:r>
            <w:r>
              <w:rPr>
                <w:rFonts w:hint="eastAsia" w:ascii="宋体" w:hAnsi="宋体" w:cs="宋体"/>
              </w:rPr>
              <w:t>3、通过1:1建模在3D环境内真实呈现了驱动电机的基本结构，将驱动电机分解展示：电机后端盖螺丝、电机后端盖、电机温度传感器插接件、电机转速传感器插接件、旋转变压器插头、后端轴承、电机转速传感器定子、传感器压盘、传感器固定螺栓、旋变转子、电机转子、前端轴承、内花键、电机定子固定螺栓、三相绕组连接端子、电机温度传感器、电机定子总成、固定螺栓、接线盒、固定螺栓、电机空气平衡口、接线盒盖板、冷却水管接头、冷却液排气孔、电机壳体、冷却水管接头、固定螺栓、冷却液排放口螺丝、密封环、卡簧、冷却液温度传感器等31个零部件；详细语音讲解及文字介绍。电机系统模块还配备有低温工况、高温工况原理动画，通过生动的三维动画，使学员更容易学习总成工作及原理。</w:t>
            </w:r>
            <w:r>
              <w:rPr>
                <w:rFonts w:hint="eastAsia" w:ascii="宋体" w:hAnsi="宋体" w:cs="宋体"/>
              </w:rPr>
              <w:br w:type="textWrapping"/>
            </w:r>
            <w:r>
              <w:rPr>
                <w:rFonts w:hint="eastAsia" w:ascii="宋体" w:hAnsi="宋体" w:cs="宋体"/>
              </w:rPr>
              <w:t>4、使用光标点击零部件，零部件能够变换颜色并自动讲解结构及作用。</w:t>
            </w:r>
            <w:r>
              <w:rPr>
                <w:rFonts w:hint="eastAsia" w:ascii="宋体" w:hAnsi="宋体" w:cs="宋体"/>
              </w:rPr>
              <w:br w:type="textWrapping"/>
            </w:r>
            <w:r>
              <w:rPr>
                <w:rFonts w:hint="eastAsia" w:ascii="宋体" w:hAnsi="宋体" w:cs="宋体"/>
              </w:rPr>
              <w:t>5、通过3D特效展示了驱动电机内部结构及工作原理，可根据学习需要，重复学习重点或难懂的知识点。能够解决新能源汽车教学和实训中看不见、查不到、拆不开、无法重复使用等问题。</w:t>
            </w:r>
            <w:r>
              <w:rPr>
                <w:rFonts w:hint="eastAsia" w:ascii="宋体" w:hAnsi="宋体" w:cs="宋体"/>
              </w:rPr>
              <w:br w:type="textWrapping"/>
            </w:r>
            <w:r>
              <w:rPr>
                <w:rFonts w:hint="eastAsia" w:ascii="宋体" w:hAnsi="宋体" w:cs="宋体"/>
              </w:rPr>
              <w:t>6、配有答题模式，根据学生所学的知识进行考核，加深学生对所学章节的印象。系统根据本次所学得知生成试卷，通过语音读题、字幕同步显示、自动评判、错误提示、设有专门的功能区，并引导和鼓励学生再次学习。使学生主动学习并验证自己的学习效果。</w:t>
            </w:r>
            <w:r>
              <w:rPr>
                <w:rFonts w:hint="eastAsia" w:ascii="宋体" w:hAnsi="宋体" w:cs="宋体"/>
              </w:rPr>
              <w:br w:type="textWrapping"/>
            </w:r>
            <w:r>
              <w:rPr>
                <w:rFonts w:hint="eastAsia" w:ascii="宋体" w:hAnsi="宋体" w:cs="宋体"/>
              </w:rPr>
              <w:t>四、产品运行环境要求：</w:t>
            </w:r>
            <w:r>
              <w:rPr>
                <w:rFonts w:hint="eastAsia" w:ascii="宋体" w:hAnsi="宋体" w:cs="宋体"/>
              </w:rPr>
              <w:br w:type="textWrapping"/>
            </w:r>
            <w:r>
              <w:rPr>
                <w:rFonts w:hint="eastAsia" w:ascii="宋体" w:hAnsi="宋体" w:cs="宋体"/>
              </w:rPr>
              <w:t>软件用Unity3d进行框架的搭建，C#语音进行命令的编写；3DsMax配合建模和动画的制作；动画的特效是拿after effect进行制作；用photoshop制作菜单和Ui。</w:t>
            </w:r>
            <w:r>
              <w:rPr>
                <w:rFonts w:hint="eastAsia" w:ascii="宋体" w:hAnsi="宋体" w:cs="宋体"/>
              </w:rPr>
              <w:br w:type="textWrapping"/>
            </w:r>
            <w:r>
              <w:rPr>
                <w:rFonts w:hint="eastAsia" w:ascii="宋体" w:hAnsi="宋体" w:cs="宋体"/>
              </w:rPr>
              <w:t>五、教学及实训内容要求：</w:t>
            </w:r>
            <w:r>
              <w:rPr>
                <w:rFonts w:hint="eastAsia" w:ascii="宋体" w:hAnsi="宋体" w:cs="宋体"/>
              </w:rPr>
              <w:br w:type="textWrapping"/>
            </w:r>
            <w:r>
              <w:rPr>
                <w:rFonts w:hint="eastAsia" w:ascii="宋体" w:hAnsi="宋体" w:cs="宋体"/>
              </w:rPr>
              <w:t>纯电动汽车驱动电机的基本介绍；定子总成结构认知及考核；转子总成结构认知及考核；电机转速传感器结构认知及考核；电机温度传感器结构认知及考核；电机及控制器故障模拟；电机冷却系统结构认知及原理演示。</w:t>
            </w:r>
          </w:p>
        </w:tc>
        <w:tc>
          <w:tcPr>
            <w:tcW w:w="357" w:type="pct"/>
            <w:vAlign w:val="center"/>
          </w:tcPr>
          <w:p w14:paraId="7F1F751C">
            <w:pPr>
              <w:jc w:val="center"/>
              <w:rPr>
                <w:rFonts w:hint="eastAsia" w:ascii="宋体" w:hAnsi="宋体" w:cs="宋体"/>
                <w:szCs w:val="21"/>
              </w:rPr>
            </w:pPr>
            <w:r>
              <w:rPr>
                <w:rFonts w:hint="eastAsia" w:ascii="宋体" w:hAnsi="宋体" w:cs="宋体"/>
                <w:szCs w:val="21"/>
              </w:rPr>
              <w:t>2</w:t>
            </w:r>
          </w:p>
        </w:tc>
        <w:tc>
          <w:tcPr>
            <w:tcW w:w="341" w:type="pct"/>
            <w:vAlign w:val="center"/>
          </w:tcPr>
          <w:p w14:paraId="74DCAE47">
            <w:pPr>
              <w:jc w:val="center"/>
              <w:rPr>
                <w:rFonts w:hint="eastAsia" w:ascii="宋体" w:hAnsi="宋体" w:cs="宋体"/>
                <w:szCs w:val="21"/>
              </w:rPr>
            </w:pPr>
            <w:r>
              <w:rPr>
                <w:rFonts w:hint="eastAsia" w:ascii="宋体" w:hAnsi="宋体" w:cs="宋体"/>
                <w:szCs w:val="21"/>
              </w:rPr>
              <w:t>套</w:t>
            </w:r>
          </w:p>
        </w:tc>
      </w:tr>
      <w:tr w14:paraId="6395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717A02A0">
            <w:pPr>
              <w:jc w:val="center"/>
              <w:rPr>
                <w:rFonts w:hint="eastAsia" w:ascii="宋体" w:hAnsi="宋体" w:cs="宋体"/>
                <w:b/>
                <w:bCs/>
                <w:szCs w:val="21"/>
              </w:rPr>
            </w:pPr>
            <w:r>
              <w:rPr>
                <w:rFonts w:hint="eastAsia" w:ascii="宋体" w:hAnsi="宋体" w:cs="宋体"/>
                <w:szCs w:val="21"/>
              </w:rPr>
              <w:t>26</w:t>
            </w:r>
          </w:p>
        </w:tc>
        <w:tc>
          <w:tcPr>
            <w:tcW w:w="536" w:type="pct"/>
            <w:vAlign w:val="center"/>
          </w:tcPr>
          <w:p w14:paraId="70C3B872">
            <w:pPr>
              <w:pStyle w:val="80"/>
              <w:jc w:val="center"/>
              <w:rPr>
                <w:rFonts w:hint="eastAsia" w:ascii="宋体" w:hAnsi="宋体" w:cs="宋体"/>
              </w:rPr>
            </w:pPr>
            <w:r>
              <w:rPr>
                <w:rFonts w:hint="eastAsia" w:ascii="宋体" w:hAnsi="宋体" w:cs="宋体"/>
              </w:rPr>
              <w:t>新能源汽车变速器VR智能教学软件系统</w:t>
            </w:r>
          </w:p>
        </w:tc>
        <w:tc>
          <w:tcPr>
            <w:tcW w:w="3571" w:type="pct"/>
            <w:vAlign w:val="center"/>
          </w:tcPr>
          <w:p w14:paraId="1F87E53A">
            <w:pPr>
              <w:pStyle w:val="80"/>
              <w:ind w:left="105" w:leftChars="50"/>
              <w:jc w:val="left"/>
              <w:rPr>
                <w:rFonts w:hint="eastAsia" w:ascii="宋体" w:hAnsi="宋体" w:cs="宋体"/>
              </w:rPr>
            </w:pPr>
            <w:r>
              <w:rPr>
                <w:rFonts w:hint="eastAsia" w:ascii="宋体" w:hAnsi="宋体" w:cs="宋体"/>
              </w:rPr>
              <w:t>一、产品简介及功能要求：</w:t>
            </w:r>
            <w:r>
              <w:rPr>
                <w:rFonts w:hint="eastAsia" w:ascii="宋体" w:hAnsi="宋体" w:cs="宋体"/>
              </w:rPr>
              <w:br w:type="textWrapping"/>
            </w:r>
            <w:r>
              <w:rPr>
                <w:rFonts w:hint="eastAsia" w:ascii="宋体" w:hAnsi="宋体" w:cs="宋体"/>
              </w:rPr>
              <w:t>1、VR虚拟现实的方式展示新能源汽车变速器的结构原理以及在实车上的位置。从宏观到微观讲解新能源汽车，可以根据讲解进度进行同步实训、可以学习系统的基本原理、对所学内容及时考核。</w:t>
            </w:r>
            <w:r>
              <w:rPr>
                <w:rFonts w:hint="eastAsia" w:ascii="宋体" w:hAnsi="宋体" w:cs="宋体"/>
              </w:rPr>
              <w:br w:type="textWrapping"/>
            </w:r>
            <w:r>
              <w:rPr>
                <w:rFonts w:hint="eastAsia" w:ascii="宋体" w:hAnsi="宋体" w:cs="宋体"/>
              </w:rPr>
              <w:t>2、变速器模块主要展示变速器各部件的认知和结构原理，代替老师讲解新能源汽车变速器机构各零部件作用。</w:t>
            </w:r>
            <w:r>
              <w:rPr>
                <w:rFonts w:hint="eastAsia" w:ascii="宋体" w:hAnsi="宋体" w:cs="宋体"/>
              </w:rPr>
              <w:br w:type="textWrapping"/>
            </w:r>
            <w:r>
              <w:rPr>
                <w:rFonts w:hint="eastAsia" w:ascii="宋体" w:hAnsi="宋体" w:cs="宋体"/>
              </w:rPr>
              <w:t>3、通过1:1建模在3D环境内真实呈现了变速器的基本结构，将变速器分解展示：变速器壳体固定螺栓、变速器前壳体、密封环、输入轴油封、输出轴油封、防尘盖、波纹形弹簧、输入轴前端轴承、输入轴轴承固定架、输入轴轴承固定架螺栓、输入轴齿轮、输入轴后端轴承、轴承、固定架、螺栓、中间轴及齿轮、中间轴后端轴承卡簧、中间轴后端轴承、短轴、半轴油封工作面、内球笼卡簧、永磁铁、差速器轴承、螺栓及固定架、短轴紧固螺栓、主减速齿轮、预紧弹簧、弹簧座、锥形挡圈、预紧胶圈、差速器壳体、半轴齿轮垫片、半轴齿轮、短轴固定螺母、行星齿轮、行星齿轮垫片、变速器后壳体、注油和油面螺栓、放油螺栓等39个零部件；详细语音讲解及文字介绍。</w:t>
            </w:r>
            <w:r>
              <w:rPr>
                <w:rFonts w:hint="eastAsia" w:ascii="宋体" w:hAnsi="宋体" w:cs="宋体"/>
              </w:rPr>
              <w:br w:type="textWrapping"/>
            </w:r>
            <w:r>
              <w:rPr>
                <w:rFonts w:hint="eastAsia" w:ascii="宋体" w:hAnsi="宋体" w:cs="宋体"/>
              </w:rPr>
              <w:t>4、使用光标点击零部件，零部件能够变换颜色并自动讲解结构及作用。</w:t>
            </w:r>
            <w:r>
              <w:rPr>
                <w:rFonts w:hint="eastAsia" w:ascii="宋体" w:hAnsi="宋体" w:cs="宋体"/>
              </w:rPr>
              <w:br w:type="textWrapping"/>
            </w:r>
            <w:r>
              <w:rPr>
                <w:rFonts w:hint="eastAsia" w:ascii="宋体" w:hAnsi="宋体" w:cs="宋体"/>
              </w:rPr>
              <w:t>5、通过3D特效展示了变速器内部结构及工作原理，可根据学习需要，重复学习重点或难懂的知识点。能够解决新能源汽车教学和实训中看不见、查不到、拆不开、无法重复使用等问题。</w:t>
            </w:r>
            <w:r>
              <w:rPr>
                <w:rFonts w:hint="eastAsia" w:ascii="宋体" w:hAnsi="宋体" w:cs="宋体"/>
              </w:rPr>
              <w:br w:type="textWrapping"/>
            </w:r>
            <w:r>
              <w:rPr>
                <w:rFonts w:hint="eastAsia" w:ascii="宋体" w:hAnsi="宋体" w:cs="宋体"/>
              </w:rPr>
              <w:t>6、配有答题模式，根据学生所学的知识进行考核，加深学生对所学章节的印象。系统根据本次所学得知生成试卷，通过语音读题、字幕同步显示、自动评判、错误提示、设有专门的功能区，并引导和鼓励学生再次学习。使学生主动学习并验证自己的学习效果。</w:t>
            </w:r>
          </w:p>
        </w:tc>
        <w:tc>
          <w:tcPr>
            <w:tcW w:w="357" w:type="pct"/>
            <w:vAlign w:val="center"/>
          </w:tcPr>
          <w:p w14:paraId="3B71A6A1">
            <w:pPr>
              <w:jc w:val="center"/>
              <w:rPr>
                <w:rFonts w:hint="eastAsia" w:ascii="宋体" w:hAnsi="宋体" w:cs="宋体"/>
                <w:szCs w:val="21"/>
              </w:rPr>
            </w:pPr>
            <w:r>
              <w:rPr>
                <w:rFonts w:hint="eastAsia" w:ascii="宋体" w:hAnsi="宋体" w:cs="宋体"/>
                <w:szCs w:val="21"/>
              </w:rPr>
              <w:t>2</w:t>
            </w:r>
          </w:p>
        </w:tc>
        <w:tc>
          <w:tcPr>
            <w:tcW w:w="341" w:type="pct"/>
            <w:vAlign w:val="center"/>
          </w:tcPr>
          <w:p w14:paraId="1212500C">
            <w:pPr>
              <w:jc w:val="center"/>
              <w:rPr>
                <w:rFonts w:hint="eastAsia" w:ascii="宋体" w:hAnsi="宋体" w:cs="宋体"/>
                <w:szCs w:val="21"/>
              </w:rPr>
            </w:pPr>
            <w:r>
              <w:rPr>
                <w:rFonts w:hint="eastAsia" w:ascii="宋体" w:hAnsi="宋体" w:cs="宋体"/>
                <w:szCs w:val="21"/>
              </w:rPr>
              <w:t>套</w:t>
            </w:r>
          </w:p>
        </w:tc>
      </w:tr>
      <w:tr w14:paraId="4E62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7E95F590">
            <w:pPr>
              <w:jc w:val="center"/>
              <w:rPr>
                <w:rFonts w:hint="eastAsia" w:ascii="宋体" w:hAnsi="宋体" w:cs="宋体"/>
                <w:b/>
                <w:bCs/>
                <w:szCs w:val="21"/>
              </w:rPr>
            </w:pPr>
            <w:r>
              <w:rPr>
                <w:rFonts w:hint="eastAsia" w:ascii="宋体" w:hAnsi="宋体" w:cs="宋体"/>
                <w:szCs w:val="21"/>
              </w:rPr>
              <w:t>27</w:t>
            </w:r>
          </w:p>
        </w:tc>
        <w:tc>
          <w:tcPr>
            <w:tcW w:w="536" w:type="pct"/>
            <w:vAlign w:val="center"/>
          </w:tcPr>
          <w:p w14:paraId="59FA8A20">
            <w:pPr>
              <w:pStyle w:val="80"/>
              <w:jc w:val="center"/>
              <w:rPr>
                <w:rFonts w:hint="eastAsia" w:ascii="宋体" w:hAnsi="宋体" w:cs="宋体"/>
              </w:rPr>
            </w:pPr>
            <w:r>
              <w:rPr>
                <w:rFonts w:hint="eastAsia" w:ascii="宋体" w:hAnsi="宋体" w:cs="宋体"/>
              </w:rPr>
              <w:t>新能源汽车空调VR智能教学软件系统</w:t>
            </w:r>
          </w:p>
        </w:tc>
        <w:tc>
          <w:tcPr>
            <w:tcW w:w="3571" w:type="pct"/>
            <w:vAlign w:val="center"/>
          </w:tcPr>
          <w:p w14:paraId="7B91CE5B">
            <w:pPr>
              <w:pStyle w:val="80"/>
              <w:ind w:left="105" w:leftChars="50"/>
              <w:jc w:val="left"/>
              <w:rPr>
                <w:rFonts w:hint="eastAsia" w:ascii="宋体" w:hAnsi="宋体" w:cs="宋体"/>
              </w:rPr>
            </w:pPr>
            <w:r>
              <w:rPr>
                <w:rFonts w:hint="eastAsia" w:ascii="宋体" w:hAnsi="宋体" w:cs="宋体"/>
              </w:rPr>
              <w:t>一、产品简介及功能要求：</w:t>
            </w:r>
            <w:r>
              <w:rPr>
                <w:rFonts w:hint="eastAsia" w:ascii="宋体" w:hAnsi="宋体" w:cs="宋体"/>
              </w:rPr>
              <w:br w:type="textWrapping"/>
            </w:r>
            <w:r>
              <w:rPr>
                <w:rFonts w:hint="eastAsia" w:ascii="宋体" w:hAnsi="宋体" w:cs="宋体"/>
              </w:rPr>
              <w:t>1、VR虚拟现实的方式展示新能源汽车空调系统的结构原理以及在实车上的位置。从宏观到微观讲解新能源汽车，可以根据讲解进度进行同步实训、可以学习系统的基本原理、对所学内容及时考核。</w:t>
            </w:r>
            <w:r>
              <w:rPr>
                <w:rFonts w:hint="eastAsia" w:ascii="宋体" w:hAnsi="宋体" w:cs="宋体"/>
              </w:rPr>
              <w:br w:type="textWrapping"/>
            </w:r>
            <w:r>
              <w:rPr>
                <w:rFonts w:hint="eastAsia" w:ascii="宋体" w:hAnsi="宋体" w:cs="宋体"/>
              </w:rPr>
              <w:t>2、空调系统模块主要展示空调系统各部件的认知和结构原理，让学员对新能源汽车空调系统各零部件作用有个初步了解。</w:t>
            </w:r>
            <w:r>
              <w:rPr>
                <w:rFonts w:hint="eastAsia" w:ascii="宋体" w:hAnsi="宋体" w:cs="宋体"/>
              </w:rPr>
              <w:br w:type="textWrapping"/>
            </w:r>
            <w:r>
              <w:rPr>
                <w:rFonts w:hint="eastAsia" w:ascii="宋体" w:hAnsi="宋体" w:cs="宋体"/>
              </w:rPr>
              <w:t>3、通过1:1建模在3D环境内真实呈现了空调系统的基本结构，本空调制冷系统电动压缩机自动调节空调。此空调系统主要由电动压缩机、冷凝器、HVAC总成、制冷管路、PTC、暖风水管、风道、空调控制器等零部件组成，具有制冷、采暖、除霜除雾、通风换气四种功能。供暖系统：该系统利用 PTC水暖采暖，利用蒸汽压缩式制冷循环制冷，制冷剂为R410a，冷冻油为POE。控制方式为按键操纵式。自动空调箱体的模式风门、冷暖混合风门和内外循环风门都是电机控制。详细语音讲解及文字介绍。</w:t>
            </w:r>
            <w:r>
              <w:rPr>
                <w:rFonts w:hint="eastAsia" w:ascii="宋体" w:hAnsi="宋体" w:cs="宋体"/>
              </w:rPr>
              <w:br w:type="textWrapping"/>
            </w:r>
            <w:r>
              <w:rPr>
                <w:rFonts w:hint="eastAsia" w:ascii="宋体" w:hAnsi="宋体" w:cs="宋体"/>
              </w:rPr>
              <w:t>4、使用光标点击零部件，零部件能够变换颜色并自动讲解结构及作用。</w:t>
            </w:r>
            <w:r>
              <w:rPr>
                <w:rFonts w:hint="eastAsia" w:ascii="宋体" w:hAnsi="宋体" w:cs="宋体"/>
              </w:rPr>
              <w:br w:type="textWrapping"/>
            </w:r>
            <w:r>
              <w:rPr>
                <w:rFonts w:hint="eastAsia" w:ascii="宋体" w:hAnsi="宋体" w:cs="宋体"/>
              </w:rPr>
              <w:t>5、通过3D特效展示了空调系统内部结构及工作原理，可根据学习需要，重复学习重点或难懂的知识点。能够解决新能源汽车教学和实训中看不见、查不到、拆不开、无法重复使用等问题。</w:t>
            </w:r>
            <w:r>
              <w:rPr>
                <w:rFonts w:hint="eastAsia" w:ascii="宋体" w:hAnsi="宋体" w:cs="宋体"/>
              </w:rPr>
              <w:br w:type="textWrapping"/>
            </w:r>
            <w:r>
              <w:rPr>
                <w:rFonts w:hint="eastAsia" w:ascii="宋体" w:hAnsi="宋体" w:cs="宋体"/>
              </w:rPr>
              <w:t>6、配有答题模式，根据学生所学的知识进行考核，加深学生对所学章节的印象。系统根据本次所学得知生成试卷，通过语音读题、字幕同步显示、自动评判、错误提示、设有专门的功能区，并引导和鼓励学生再次学习。是学生主动学习并验证自己的学习效果。</w:t>
            </w:r>
          </w:p>
        </w:tc>
        <w:tc>
          <w:tcPr>
            <w:tcW w:w="357" w:type="pct"/>
            <w:vAlign w:val="center"/>
          </w:tcPr>
          <w:p w14:paraId="23A66602">
            <w:pPr>
              <w:jc w:val="center"/>
              <w:rPr>
                <w:rFonts w:hint="eastAsia" w:ascii="宋体" w:hAnsi="宋体" w:cs="宋体"/>
                <w:szCs w:val="21"/>
              </w:rPr>
            </w:pPr>
            <w:r>
              <w:rPr>
                <w:rFonts w:hint="eastAsia" w:ascii="宋体" w:hAnsi="宋体" w:cs="宋体"/>
                <w:szCs w:val="21"/>
              </w:rPr>
              <w:t>2</w:t>
            </w:r>
          </w:p>
        </w:tc>
        <w:tc>
          <w:tcPr>
            <w:tcW w:w="341" w:type="pct"/>
            <w:vAlign w:val="center"/>
          </w:tcPr>
          <w:p w14:paraId="41A41266">
            <w:pPr>
              <w:jc w:val="center"/>
              <w:rPr>
                <w:rFonts w:hint="eastAsia" w:ascii="宋体" w:hAnsi="宋体" w:cs="宋体"/>
                <w:szCs w:val="21"/>
              </w:rPr>
            </w:pPr>
            <w:r>
              <w:rPr>
                <w:rFonts w:hint="eastAsia" w:ascii="宋体" w:hAnsi="宋体" w:cs="宋体"/>
                <w:szCs w:val="21"/>
              </w:rPr>
              <w:t>套</w:t>
            </w:r>
          </w:p>
        </w:tc>
      </w:tr>
      <w:tr w14:paraId="363A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3A534194">
            <w:pPr>
              <w:jc w:val="center"/>
              <w:rPr>
                <w:rFonts w:hint="eastAsia" w:ascii="宋体" w:hAnsi="宋体" w:cs="宋体"/>
                <w:b/>
                <w:bCs/>
                <w:szCs w:val="21"/>
              </w:rPr>
            </w:pPr>
            <w:r>
              <w:rPr>
                <w:rFonts w:hint="eastAsia" w:ascii="宋体" w:hAnsi="宋体" w:cs="宋体"/>
                <w:szCs w:val="21"/>
              </w:rPr>
              <w:t>28</w:t>
            </w:r>
          </w:p>
        </w:tc>
        <w:tc>
          <w:tcPr>
            <w:tcW w:w="536" w:type="pct"/>
            <w:vAlign w:val="center"/>
          </w:tcPr>
          <w:p w14:paraId="2707ADF9">
            <w:pPr>
              <w:pStyle w:val="80"/>
              <w:jc w:val="center"/>
              <w:rPr>
                <w:rFonts w:hint="eastAsia" w:ascii="宋体" w:hAnsi="宋体" w:cs="宋体"/>
              </w:rPr>
            </w:pPr>
            <w:r>
              <w:rPr>
                <w:rFonts w:hint="eastAsia" w:ascii="宋体" w:hAnsi="宋体" w:cs="宋体"/>
              </w:rPr>
              <w:t>新能源汽车高压控制器及高压安全VR智能教学软件系统</w:t>
            </w:r>
          </w:p>
        </w:tc>
        <w:tc>
          <w:tcPr>
            <w:tcW w:w="3571" w:type="pct"/>
            <w:vAlign w:val="center"/>
          </w:tcPr>
          <w:p w14:paraId="6CA9EFD0">
            <w:pPr>
              <w:pStyle w:val="80"/>
              <w:ind w:left="105" w:leftChars="50"/>
              <w:jc w:val="left"/>
              <w:rPr>
                <w:rFonts w:hint="eastAsia" w:ascii="宋体" w:hAnsi="宋体" w:cs="宋体"/>
              </w:rPr>
            </w:pPr>
            <w:r>
              <w:rPr>
                <w:rFonts w:hint="eastAsia" w:ascii="宋体" w:hAnsi="宋体" w:cs="宋体"/>
              </w:rPr>
              <w:t>一、产品简介及功能要求：</w:t>
            </w:r>
            <w:r>
              <w:rPr>
                <w:rFonts w:hint="eastAsia" w:ascii="宋体" w:hAnsi="宋体" w:cs="宋体"/>
              </w:rPr>
              <w:br w:type="textWrapping"/>
            </w:r>
            <w:r>
              <w:rPr>
                <w:rFonts w:hint="eastAsia" w:ascii="宋体" w:hAnsi="宋体" w:cs="宋体"/>
              </w:rPr>
              <w:t>1、VR虚拟现实的方式展示新能源汽车高压控制器的结构原理以及在实车上的位置。从宏观到微观讲解新能源汽车，可以根据讲解进度进行同步实训、可以学习系统的基本原理、对所学内容及时考核。</w:t>
            </w:r>
            <w:r>
              <w:rPr>
                <w:rFonts w:hint="eastAsia" w:ascii="宋体" w:hAnsi="宋体" w:cs="宋体"/>
              </w:rPr>
              <w:br w:type="textWrapping"/>
            </w:r>
            <w:r>
              <w:rPr>
                <w:rFonts w:hint="eastAsia" w:ascii="宋体" w:hAnsi="宋体" w:cs="宋体"/>
              </w:rPr>
              <w:t>2、高压控制器模块主要展示高压控制器各部件的认知和结构原理，代替老师讲解新能源汽车变速器机构各零部件作用。</w:t>
            </w:r>
            <w:r>
              <w:rPr>
                <w:rFonts w:hint="eastAsia" w:ascii="宋体" w:hAnsi="宋体" w:cs="宋体"/>
              </w:rPr>
              <w:br w:type="textWrapping"/>
            </w:r>
            <w:r>
              <w:rPr>
                <w:rFonts w:hint="eastAsia" w:ascii="宋体" w:hAnsi="宋体" w:cs="宋体"/>
              </w:rPr>
              <w:t>3、通过1:1建模在3D环境内真实呈现了高压控制器的基本结构，将高压控制器分解展示：主要有主接触器、交流充电接触器、直流充电正接触器、直流充电负接触器、主预充接触器、预充电阻、电容、DC/DC转换器、漏电传感器、电流传感器、定值电阻、空调保险、相线接触器、VTOG、IGBT、变频控制器、电容器电路板、交流充电机、电感线圈、电流传感器、N线交流接触器、导线连接器、导线连接片、交流接触器、控制电路板、电容、开关管、固定架、散热板、交流充电插孔、直流母线插孔等31个零部件。详细语音讲解及文字介绍。内置交直流充电、DCDC转换器、电机驱动和能量回收原理动画，通过生动的三维动画方式，还原真实的工作原理，使学员更容易学习。</w:t>
            </w:r>
            <w:r>
              <w:rPr>
                <w:rFonts w:hint="eastAsia" w:ascii="宋体" w:hAnsi="宋体" w:cs="宋体"/>
              </w:rPr>
              <w:br w:type="textWrapping"/>
            </w:r>
            <w:r>
              <w:rPr>
                <w:rFonts w:hint="eastAsia" w:ascii="宋体" w:hAnsi="宋体" w:cs="宋体"/>
              </w:rPr>
              <w:t>4、使用光标点击零部件，零部件能够变换颜色并自动语音讲解结构及作用。高压控制器可分为上下部，利用螺栓固定一起，其中上部分内集成有：高压配电系统DC/DC转换器、VTOG控制器及IGBT等构成。下部分集成交流充电机、电感线圈及控制电路。且在配电箱体内部设置水道，用来给高压配电箱散热。</w:t>
            </w:r>
            <w:r>
              <w:rPr>
                <w:rFonts w:hint="eastAsia" w:ascii="宋体" w:hAnsi="宋体" w:cs="宋体"/>
              </w:rPr>
              <w:br w:type="textWrapping"/>
            </w:r>
            <w:r>
              <w:rPr>
                <w:rFonts w:hint="eastAsia" w:ascii="宋体" w:hAnsi="宋体" w:cs="宋体"/>
              </w:rPr>
              <w:t>5、通过3D特效展示了高压控制器内部结构及工作原理，可根据学习需要，重复学习重点或难懂的知识点。能够解决新能源汽车教学和实训中看不见、查不到、拆不开、无法重复使用等问题。</w:t>
            </w:r>
            <w:r>
              <w:rPr>
                <w:rFonts w:hint="eastAsia" w:ascii="宋体" w:hAnsi="宋体" w:cs="宋体"/>
              </w:rPr>
              <w:br w:type="textWrapping"/>
            </w:r>
            <w:r>
              <w:rPr>
                <w:rFonts w:hint="eastAsia" w:ascii="宋体" w:hAnsi="宋体" w:cs="宋体"/>
              </w:rPr>
              <w:t>6、安全警示模块（通过动画模拟纯电动汽车，充电操作不规范造成的人身伤害，和拆卸配电箱元器件操作不规范造成的人身伤害以及正确操作流程）通过本系统学生可以认识到新能源汽车操作流程不规范所造成的故障的严重性，模拟在现实中容易发生的情况。</w:t>
            </w:r>
            <w:r>
              <w:rPr>
                <w:rFonts w:hint="eastAsia" w:ascii="宋体" w:hAnsi="宋体" w:cs="宋体"/>
              </w:rPr>
              <w:br w:type="textWrapping"/>
            </w:r>
            <w:r>
              <w:rPr>
                <w:rFonts w:hint="eastAsia" w:ascii="宋体" w:hAnsi="宋体" w:cs="宋体"/>
              </w:rPr>
              <w:t>7、配有答题模式，根据学生所学的知识进行考核，加深学生对所学章节的印象。系统根据本次所学得知生成试卷，通过语音读题、字幕同步显示、自动评判、错误提示、设有专门的功能区，并引导和鼓励学生再次学习。使学生主动学习并验证自己的学习效果。</w:t>
            </w:r>
          </w:p>
        </w:tc>
        <w:tc>
          <w:tcPr>
            <w:tcW w:w="357" w:type="pct"/>
            <w:vAlign w:val="center"/>
          </w:tcPr>
          <w:p w14:paraId="4E61EDE8">
            <w:pPr>
              <w:jc w:val="center"/>
              <w:rPr>
                <w:rFonts w:hint="eastAsia" w:ascii="宋体" w:hAnsi="宋体" w:cs="宋体"/>
                <w:szCs w:val="21"/>
              </w:rPr>
            </w:pPr>
            <w:r>
              <w:rPr>
                <w:rFonts w:hint="eastAsia" w:ascii="宋体" w:hAnsi="宋体" w:cs="宋体"/>
                <w:szCs w:val="21"/>
              </w:rPr>
              <w:t>2</w:t>
            </w:r>
          </w:p>
        </w:tc>
        <w:tc>
          <w:tcPr>
            <w:tcW w:w="341" w:type="pct"/>
            <w:vAlign w:val="center"/>
          </w:tcPr>
          <w:p w14:paraId="1DF0B420">
            <w:pPr>
              <w:jc w:val="center"/>
              <w:rPr>
                <w:rFonts w:hint="eastAsia" w:ascii="宋体" w:hAnsi="宋体" w:cs="宋体"/>
                <w:szCs w:val="21"/>
              </w:rPr>
            </w:pPr>
            <w:r>
              <w:rPr>
                <w:rFonts w:hint="eastAsia" w:ascii="宋体" w:hAnsi="宋体" w:cs="宋体"/>
                <w:szCs w:val="21"/>
              </w:rPr>
              <w:t>套</w:t>
            </w:r>
          </w:p>
        </w:tc>
      </w:tr>
      <w:tr w14:paraId="633E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0F26AB97">
            <w:pPr>
              <w:jc w:val="center"/>
              <w:rPr>
                <w:rFonts w:hint="eastAsia" w:ascii="宋体" w:hAnsi="宋体" w:cs="宋体"/>
                <w:b/>
                <w:bCs/>
                <w:szCs w:val="21"/>
              </w:rPr>
            </w:pPr>
            <w:r>
              <w:rPr>
                <w:rFonts w:hint="eastAsia" w:ascii="宋体" w:hAnsi="宋体" w:cs="宋体"/>
                <w:szCs w:val="21"/>
              </w:rPr>
              <w:t>29</w:t>
            </w:r>
          </w:p>
        </w:tc>
        <w:tc>
          <w:tcPr>
            <w:tcW w:w="536" w:type="pct"/>
            <w:vAlign w:val="center"/>
          </w:tcPr>
          <w:p w14:paraId="59917F18">
            <w:pPr>
              <w:pStyle w:val="80"/>
              <w:jc w:val="center"/>
              <w:rPr>
                <w:rFonts w:hint="eastAsia" w:ascii="宋体" w:hAnsi="宋体" w:cs="宋体"/>
              </w:rPr>
            </w:pPr>
            <w:r>
              <w:rPr>
                <w:rFonts w:hint="eastAsia" w:ascii="宋体" w:hAnsi="宋体" w:cs="宋体"/>
              </w:rPr>
              <w:t>新能源汽车动力电池VR智能教学软件系统</w:t>
            </w:r>
          </w:p>
        </w:tc>
        <w:tc>
          <w:tcPr>
            <w:tcW w:w="3571" w:type="pct"/>
            <w:vAlign w:val="center"/>
          </w:tcPr>
          <w:p w14:paraId="2C3D6215">
            <w:pPr>
              <w:pStyle w:val="80"/>
              <w:jc w:val="left"/>
              <w:rPr>
                <w:rFonts w:hint="eastAsia" w:ascii="宋体" w:hAnsi="宋体" w:cs="宋体"/>
              </w:rPr>
            </w:pPr>
            <w:r>
              <w:rPr>
                <w:rFonts w:hint="eastAsia" w:ascii="宋体" w:hAnsi="宋体" w:cs="宋体"/>
              </w:rPr>
              <w:t>一、产品简介及功能要求：</w:t>
            </w:r>
            <w:r>
              <w:rPr>
                <w:rFonts w:hint="eastAsia" w:ascii="宋体" w:hAnsi="宋体" w:cs="宋体"/>
              </w:rPr>
              <w:br w:type="textWrapping"/>
            </w:r>
            <w:r>
              <w:rPr>
                <w:rFonts w:hint="eastAsia" w:ascii="宋体" w:hAnsi="宋体" w:cs="宋体"/>
              </w:rPr>
              <w:t>（1）、VR虚拟现实的方式展示新能源汽车动力电池的结构原理以及在实车上的位置。从宏观到微观讲解新能源汽车，可以根据讲解进度进行同步实训、可以学习系统的基本原理、对所学内容及时考核。</w:t>
            </w:r>
            <w:r>
              <w:rPr>
                <w:rFonts w:hint="eastAsia" w:ascii="宋体" w:hAnsi="宋体" w:cs="宋体"/>
              </w:rPr>
              <w:br w:type="textWrapping"/>
            </w:r>
            <w:r>
              <w:rPr>
                <w:rFonts w:hint="eastAsia" w:ascii="宋体" w:hAnsi="宋体" w:cs="宋体"/>
              </w:rPr>
              <w:t>（2）、动力电池模块主要展示动力电池各部件的认知和结构原理，代替老师讲解新能源汽车变速器机构各零部件作用。</w:t>
            </w:r>
            <w:r>
              <w:rPr>
                <w:rFonts w:hint="eastAsia" w:ascii="宋体" w:hAnsi="宋体" w:cs="宋体"/>
              </w:rPr>
              <w:br w:type="textWrapping"/>
            </w:r>
            <w:r>
              <w:rPr>
                <w:rFonts w:hint="eastAsia" w:ascii="宋体" w:hAnsi="宋体" w:cs="宋体"/>
              </w:rPr>
              <w:t>（3）、通过1:1建模在3D环境内真实呈现了动力电池的基本结构，将电池分解展示为:电池单体、连接片、连接螺栓、温度传感器、分采集控制单元、保险丝、控制继电器（维修开关）、BMS单元、电池盖板、电池护板等15个零部件。详细语音讲解及文字介绍。内置高温管理、低温管理、过压管理、欠压管理、过冲管理和过放管理，通过生动的三维动画方式，还原真实的工作原理，使学员更容易学习。</w:t>
            </w:r>
            <w:r>
              <w:rPr>
                <w:rFonts w:hint="eastAsia" w:ascii="宋体" w:hAnsi="宋体" w:cs="宋体"/>
              </w:rPr>
              <w:br w:type="textWrapping"/>
            </w:r>
            <w:r>
              <w:rPr>
                <w:rFonts w:hint="eastAsia" w:ascii="宋体" w:hAnsi="宋体" w:cs="宋体"/>
              </w:rPr>
              <w:t>（4）、使用光标点击零部件，零部件能够变换颜色并自动语音讲解结构及作用。</w:t>
            </w:r>
            <w:r>
              <w:rPr>
                <w:rFonts w:hint="eastAsia" w:ascii="宋体" w:hAnsi="宋体" w:cs="宋体"/>
              </w:rPr>
              <w:br w:type="textWrapping"/>
            </w:r>
            <w:r>
              <w:rPr>
                <w:rFonts w:hint="eastAsia" w:ascii="宋体" w:hAnsi="宋体" w:cs="宋体"/>
              </w:rPr>
              <w:t>（5）、通过3D特效展示了动力电池内部结构及工作原理，可根据学习需要，重复学习重点或难懂的知识点。能够解决新能源汽车教学和实训中看不见、查不到、拆不开、无法重复使用等问题。</w:t>
            </w:r>
            <w:r>
              <w:rPr>
                <w:rFonts w:hint="eastAsia" w:ascii="宋体" w:hAnsi="宋体" w:cs="宋体"/>
              </w:rPr>
              <w:br w:type="textWrapping"/>
            </w:r>
            <w:r>
              <w:rPr>
                <w:rFonts w:hint="eastAsia" w:ascii="宋体" w:hAnsi="宋体" w:cs="宋体"/>
              </w:rPr>
              <w:t>（6）、配有答题模式，根据学生所学的知识进行考核，加深学生对所学章节的印象。系统根据本次所学得知生成试卷，通过语音读题、字幕同步显示、自动评判、错误提示、设有专门的功能区，并引导和鼓励学生再次学习。使学生主动学习并验证自己的学习效果。</w:t>
            </w:r>
          </w:p>
          <w:p w14:paraId="3DC5A13F">
            <w:pPr>
              <w:rPr>
                <w:rFonts w:hint="eastAsia" w:ascii="宋体" w:hAnsi="宋体" w:cs="宋体"/>
              </w:rPr>
            </w:pPr>
          </w:p>
        </w:tc>
        <w:tc>
          <w:tcPr>
            <w:tcW w:w="357" w:type="pct"/>
            <w:vAlign w:val="center"/>
          </w:tcPr>
          <w:p w14:paraId="61C7CC72">
            <w:pPr>
              <w:jc w:val="center"/>
              <w:rPr>
                <w:rFonts w:hint="eastAsia" w:ascii="宋体" w:hAnsi="宋体" w:cs="宋体"/>
                <w:szCs w:val="21"/>
              </w:rPr>
            </w:pPr>
            <w:r>
              <w:rPr>
                <w:rFonts w:hint="eastAsia" w:ascii="宋体" w:hAnsi="宋体" w:cs="宋体"/>
                <w:szCs w:val="21"/>
              </w:rPr>
              <w:t>2</w:t>
            </w:r>
          </w:p>
        </w:tc>
        <w:tc>
          <w:tcPr>
            <w:tcW w:w="341" w:type="pct"/>
            <w:vAlign w:val="center"/>
          </w:tcPr>
          <w:p w14:paraId="48FB1418">
            <w:pPr>
              <w:jc w:val="center"/>
              <w:rPr>
                <w:rFonts w:hint="eastAsia" w:ascii="宋体" w:hAnsi="宋体" w:cs="宋体"/>
                <w:szCs w:val="21"/>
              </w:rPr>
            </w:pPr>
            <w:r>
              <w:rPr>
                <w:rFonts w:hint="eastAsia" w:ascii="宋体" w:hAnsi="宋体" w:cs="宋体"/>
                <w:szCs w:val="21"/>
              </w:rPr>
              <w:t>套</w:t>
            </w:r>
          </w:p>
        </w:tc>
      </w:tr>
      <w:tr w14:paraId="7853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79332F01">
            <w:pPr>
              <w:jc w:val="center"/>
              <w:rPr>
                <w:rFonts w:hint="eastAsia" w:ascii="宋体" w:hAnsi="宋体" w:cs="宋体"/>
                <w:b/>
                <w:bCs/>
                <w:szCs w:val="21"/>
              </w:rPr>
            </w:pPr>
            <w:r>
              <w:rPr>
                <w:rFonts w:hint="eastAsia" w:ascii="宋体" w:hAnsi="宋体" w:cs="宋体"/>
                <w:szCs w:val="21"/>
              </w:rPr>
              <w:t>30</w:t>
            </w:r>
          </w:p>
        </w:tc>
        <w:tc>
          <w:tcPr>
            <w:tcW w:w="536" w:type="pct"/>
            <w:vAlign w:val="center"/>
          </w:tcPr>
          <w:p w14:paraId="3B9F33CC">
            <w:pPr>
              <w:pStyle w:val="80"/>
              <w:jc w:val="center"/>
              <w:rPr>
                <w:rFonts w:hint="eastAsia" w:ascii="宋体" w:hAnsi="宋体" w:cs="宋体"/>
              </w:rPr>
            </w:pPr>
            <w:r>
              <w:rPr>
                <w:rFonts w:hint="eastAsia" w:ascii="宋体" w:hAnsi="宋体" w:cs="宋体"/>
              </w:rPr>
              <w:t>VR头戴显示器</w:t>
            </w:r>
          </w:p>
        </w:tc>
        <w:tc>
          <w:tcPr>
            <w:tcW w:w="3571" w:type="pct"/>
            <w:vAlign w:val="center"/>
          </w:tcPr>
          <w:p w14:paraId="6592EB74">
            <w:pPr>
              <w:pStyle w:val="80"/>
              <w:ind w:left="105" w:leftChars="50"/>
              <w:jc w:val="left"/>
              <w:rPr>
                <w:rFonts w:hint="eastAsia" w:ascii="宋体" w:hAnsi="宋体" w:cs="宋体"/>
              </w:rPr>
            </w:pPr>
            <w:r>
              <w:rPr>
                <w:rFonts w:hint="eastAsia" w:ascii="宋体" w:hAnsi="宋体" w:cs="宋体"/>
              </w:rPr>
              <w:t>大项 小项 参数</w:t>
            </w:r>
            <w:r>
              <w:rPr>
                <w:rFonts w:hint="eastAsia" w:ascii="宋体" w:hAnsi="宋体" w:cs="宋体"/>
              </w:rPr>
              <w:br w:type="textWrapping"/>
            </w:r>
            <w:r>
              <w:rPr>
                <w:rFonts w:hint="eastAsia" w:ascii="宋体" w:hAnsi="宋体" w:cs="宋体"/>
              </w:rPr>
              <w:t>计算平台 CPU 高通XR2，Kryo 585核心，8核64位，最高主频 2.84GHz，7nm制程工艺</w:t>
            </w:r>
            <w:r>
              <w:rPr>
                <w:rFonts w:hint="eastAsia" w:ascii="宋体" w:hAnsi="宋体" w:cs="宋体"/>
              </w:rPr>
              <w:br w:type="textWrapping"/>
            </w:r>
            <w:r>
              <w:rPr>
                <w:rFonts w:hint="eastAsia" w:ascii="宋体" w:hAnsi="宋体" w:cs="宋体"/>
              </w:rPr>
              <w:t>GPU Adreno 650，主频 587MHz</w:t>
            </w:r>
            <w:r>
              <w:rPr>
                <w:rFonts w:hint="eastAsia" w:ascii="宋体" w:hAnsi="宋体" w:cs="宋体"/>
              </w:rPr>
              <w:br w:type="textWrapping"/>
            </w:r>
            <w:r>
              <w:rPr>
                <w:rFonts w:hint="eastAsia" w:ascii="宋体" w:hAnsi="宋体" w:cs="宋体"/>
              </w:rPr>
              <w:t>内存 8GB RAM，LPDDR5，6400MHz</w:t>
            </w:r>
            <w:r>
              <w:rPr>
                <w:rFonts w:hint="eastAsia" w:ascii="宋体" w:hAnsi="宋体" w:cs="宋体"/>
              </w:rPr>
              <w:br w:type="textWrapping"/>
            </w:r>
            <w:r>
              <w:rPr>
                <w:rFonts w:hint="eastAsia" w:ascii="宋体" w:hAnsi="宋体" w:cs="宋体"/>
              </w:rPr>
              <w:t>闪存 UFS3.1 256GB</w:t>
            </w:r>
            <w:r>
              <w:rPr>
                <w:rFonts w:hint="eastAsia" w:ascii="宋体" w:hAnsi="宋体" w:cs="宋体"/>
              </w:rPr>
              <w:br w:type="textWrapping"/>
            </w:r>
            <w:r>
              <w:rPr>
                <w:rFonts w:hint="eastAsia" w:ascii="宋体" w:hAnsi="宋体" w:cs="宋体"/>
              </w:rPr>
              <w:t>Wi-Fi Wi-Fi 6，2X2 MIMO，802.11 a/b/g/n/ac/ax，2.4G/5G双频</w:t>
            </w:r>
            <w:r>
              <w:rPr>
                <w:rFonts w:hint="eastAsia" w:ascii="宋体" w:hAnsi="宋体" w:cs="宋体"/>
              </w:rPr>
              <w:br w:type="textWrapping"/>
            </w:r>
            <w:r>
              <w:rPr>
                <w:rFonts w:hint="eastAsia" w:ascii="宋体" w:hAnsi="宋体" w:cs="宋体"/>
              </w:rPr>
              <w:t>BT BT5.1</w:t>
            </w:r>
            <w:r>
              <w:rPr>
                <w:rFonts w:hint="eastAsia" w:ascii="宋体" w:hAnsi="宋体" w:cs="宋体"/>
              </w:rPr>
              <w:br w:type="textWrapping"/>
            </w:r>
            <w:r>
              <w:rPr>
                <w:rFonts w:hint="eastAsia" w:ascii="宋体" w:hAnsi="宋体" w:cs="宋体"/>
              </w:rPr>
              <w:t xml:space="preserve">Android Android 10 </w:t>
            </w:r>
            <w:r>
              <w:rPr>
                <w:rFonts w:hint="eastAsia" w:ascii="宋体" w:hAnsi="宋体" w:cs="宋体"/>
              </w:rPr>
              <w:br w:type="textWrapping"/>
            </w:r>
            <w:r>
              <w:rPr>
                <w:rFonts w:hint="eastAsia" w:ascii="宋体" w:hAnsi="宋体" w:cs="宋体"/>
              </w:rPr>
              <w:t>SDK PICO SDK</w:t>
            </w:r>
            <w:r>
              <w:rPr>
                <w:rFonts w:hint="eastAsia" w:ascii="宋体" w:hAnsi="宋体" w:cs="宋体"/>
              </w:rPr>
              <w:br w:type="textWrapping"/>
            </w:r>
            <w:r>
              <w:rPr>
                <w:rFonts w:hint="eastAsia" w:ascii="宋体" w:hAnsi="宋体" w:cs="宋体"/>
              </w:rPr>
              <w:t>显示 屏幕 2.56" x 2</w:t>
            </w:r>
            <w:r>
              <w:rPr>
                <w:rFonts w:hint="eastAsia" w:ascii="宋体" w:hAnsi="宋体" w:cs="宋体"/>
              </w:rPr>
              <w:br w:type="textWrapping"/>
            </w:r>
            <w:r>
              <w:rPr>
                <w:rFonts w:hint="eastAsia" w:ascii="宋体" w:hAnsi="宋体" w:cs="宋体"/>
              </w:rPr>
              <w:t>分辨率 总分辨率 4320x2160，单眼分辨率2160x2160，1200 PPI</w:t>
            </w:r>
            <w:r>
              <w:rPr>
                <w:rFonts w:hint="eastAsia" w:ascii="宋体" w:hAnsi="宋体" w:cs="宋体"/>
              </w:rPr>
              <w:br w:type="textWrapping"/>
            </w:r>
            <w:r>
              <w:rPr>
                <w:rFonts w:hint="eastAsia" w:ascii="宋体" w:hAnsi="宋体" w:cs="宋体"/>
              </w:rPr>
              <w:t>刷新率 72/90Hz</w:t>
            </w:r>
            <w:r>
              <w:rPr>
                <w:rFonts w:hint="eastAsia" w:ascii="宋体" w:hAnsi="宋体" w:cs="宋体"/>
              </w:rPr>
              <w:br w:type="textWrapping"/>
            </w:r>
            <w:r>
              <w:rPr>
                <w:rFonts w:hint="eastAsia" w:ascii="宋体" w:hAnsi="宋体" w:cs="宋体"/>
              </w:rPr>
              <w:t>亮度 无极调节</w:t>
            </w:r>
            <w:r>
              <w:rPr>
                <w:rFonts w:hint="eastAsia" w:ascii="宋体" w:hAnsi="宋体" w:cs="宋体"/>
              </w:rPr>
              <w:br w:type="textWrapping"/>
            </w:r>
            <w:r>
              <w:rPr>
                <w:rFonts w:hint="eastAsia" w:ascii="宋体" w:hAnsi="宋体" w:cs="宋体"/>
              </w:rPr>
              <w:t>光学 视场角 105°</w:t>
            </w:r>
            <w:r>
              <w:rPr>
                <w:rFonts w:hint="eastAsia" w:ascii="宋体" w:hAnsi="宋体" w:cs="宋体"/>
              </w:rPr>
              <w:br w:type="textWrapping"/>
            </w:r>
            <w:r>
              <w:rPr>
                <w:rFonts w:hint="eastAsia" w:ascii="宋体" w:hAnsi="宋体" w:cs="宋体"/>
              </w:rPr>
              <w:t>透镜 Pancake，PMMA材质</w:t>
            </w:r>
            <w:r>
              <w:rPr>
                <w:rFonts w:hint="eastAsia" w:ascii="宋体" w:hAnsi="宋体" w:cs="宋体"/>
              </w:rPr>
              <w:br w:type="textWrapping"/>
            </w:r>
            <w:r>
              <w:rPr>
                <w:rFonts w:hint="eastAsia" w:ascii="宋体" w:hAnsi="宋体" w:cs="宋体"/>
              </w:rPr>
              <w:t>护眼模式 TÜV 低蓝光认证（软件设定）</w:t>
            </w:r>
            <w:r>
              <w:rPr>
                <w:rFonts w:hint="eastAsia" w:ascii="宋体" w:hAnsi="宋体" w:cs="宋体"/>
              </w:rPr>
              <w:br w:type="textWrapping"/>
            </w:r>
            <w:r>
              <w:rPr>
                <w:rFonts w:hint="eastAsia" w:ascii="宋体" w:hAnsi="宋体" w:cs="宋体"/>
              </w:rPr>
              <w:t>近视调节 不支持，需佩戴眼镜使用。同时支持配方镜片的快速安装和拆除设计。</w:t>
            </w:r>
            <w:r>
              <w:rPr>
                <w:rFonts w:hint="eastAsia" w:ascii="宋体" w:hAnsi="宋体" w:cs="宋体"/>
              </w:rPr>
              <w:br w:type="textWrapping"/>
            </w:r>
            <w:r>
              <w:rPr>
                <w:rFonts w:hint="eastAsia" w:ascii="宋体" w:hAnsi="宋体" w:cs="宋体"/>
              </w:rPr>
              <w:t>瞳距调节 支持软件电动调节和眼球追踪自动调节，范围：62mm~72mm</w:t>
            </w:r>
            <w:r>
              <w:rPr>
                <w:rFonts w:hint="eastAsia" w:ascii="宋体" w:hAnsi="宋体" w:cs="宋体"/>
              </w:rPr>
              <w:br w:type="textWrapping"/>
            </w:r>
            <w:r>
              <w:rPr>
                <w:rFonts w:hint="eastAsia" w:ascii="宋体" w:hAnsi="宋体" w:cs="宋体"/>
              </w:rPr>
              <w:t>传感器 9轴传感器 实现头部精准3DoF和6DoF，1KHz采样频率</w:t>
            </w:r>
            <w:r>
              <w:rPr>
                <w:rFonts w:hint="eastAsia" w:ascii="宋体" w:hAnsi="宋体" w:cs="宋体"/>
              </w:rPr>
              <w:br w:type="textWrapping"/>
            </w:r>
            <w:r>
              <w:rPr>
                <w:rFonts w:hint="eastAsia" w:ascii="宋体" w:hAnsi="宋体" w:cs="宋体"/>
              </w:rPr>
              <w:t>P-Senor 人脸佩戴感应</w:t>
            </w:r>
            <w:r>
              <w:rPr>
                <w:rFonts w:hint="eastAsia" w:ascii="宋体" w:hAnsi="宋体" w:cs="宋体"/>
              </w:rPr>
              <w:br w:type="textWrapping"/>
            </w:r>
            <w:r>
              <w:rPr>
                <w:rFonts w:hint="eastAsia" w:ascii="宋体" w:hAnsi="宋体" w:cs="宋体"/>
              </w:rPr>
              <w:t>Hall Senor 检测两个镜筒的实际间距，即瞳距数值</w:t>
            </w:r>
            <w:r>
              <w:rPr>
                <w:rFonts w:hint="eastAsia" w:ascii="宋体" w:hAnsi="宋体" w:cs="宋体"/>
              </w:rPr>
              <w:br w:type="textWrapping"/>
            </w:r>
            <w:r>
              <w:rPr>
                <w:rFonts w:hint="eastAsia" w:ascii="宋体" w:hAnsi="宋体" w:cs="宋体"/>
              </w:rPr>
              <w:t>电机驱动器 驱动两个镜筒按用户的实际瞳距进行自动调节</w:t>
            </w:r>
            <w:r>
              <w:rPr>
                <w:rFonts w:hint="eastAsia" w:ascii="宋体" w:hAnsi="宋体" w:cs="宋体"/>
              </w:rPr>
              <w:br w:type="textWrapping"/>
            </w:r>
            <w:r>
              <w:rPr>
                <w:rFonts w:hint="eastAsia" w:ascii="宋体" w:hAnsi="宋体" w:cs="宋体"/>
              </w:rPr>
              <w:t>摄像头 四目单色鱼眼 四目单色鱼眼VGA640*480@60Hz，H157°/V116°</w:t>
            </w:r>
            <w:r>
              <w:rPr>
                <w:rFonts w:hint="eastAsia" w:ascii="宋体" w:hAnsi="宋体" w:cs="宋体"/>
              </w:rPr>
              <w:br w:type="textWrapping"/>
            </w:r>
            <w:r>
              <w:rPr>
                <w:rFonts w:hint="eastAsia" w:ascii="宋体" w:hAnsi="宋体" w:cs="宋体"/>
              </w:rPr>
              <w:t>单目RGB摄像头 IMX 471 16M定焦，H130°/V115°</w:t>
            </w:r>
            <w:r>
              <w:rPr>
                <w:rFonts w:hint="eastAsia" w:ascii="宋体" w:hAnsi="宋体" w:cs="宋体"/>
              </w:rPr>
              <w:br w:type="textWrapping"/>
            </w:r>
            <w:r>
              <w:rPr>
                <w:rFonts w:hint="eastAsia" w:ascii="宋体" w:hAnsi="宋体" w:cs="宋体"/>
              </w:rPr>
              <w:t>分辨率：4656*3496@30Hz，2328*1748@60Hz（透视）</w:t>
            </w:r>
            <w:r>
              <w:rPr>
                <w:rFonts w:hint="eastAsia" w:ascii="宋体" w:hAnsi="宋体" w:cs="宋体"/>
              </w:rPr>
              <w:br w:type="textWrapping"/>
            </w:r>
            <w:r>
              <w:rPr>
                <w:rFonts w:hint="eastAsia" w:ascii="宋体" w:hAnsi="宋体" w:cs="宋体"/>
              </w:rPr>
              <w:t>眼动追踪摄像头 双目红外VGA, OV6211 400*400@60/90 Hz，H70°/V70°</w:t>
            </w:r>
            <w:r>
              <w:rPr>
                <w:rFonts w:hint="eastAsia" w:ascii="宋体" w:hAnsi="宋体" w:cs="宋体"/>
              </w:rPr>
              <w:br w:type="textWrapping"/>
            </w:r>
            <w:r>
              <w:rPr>
                <w:rFonts w:hint="eastAsia" w:ascii="宋体" w:hAnsi="宋体" w:cs="宋体"/>
              </w:rPr>
              <w:t>面部追踪摄像头 单目红外VGA, OV6211 400*400@60/90 Hz，H70°/V70°</w:t>
            </w:r>
            <w:r>
              <w:rPr>
                <w:rFonts w:hint="eastAsia" w:ascii="宋体" w:hAnsi="宋体" w:cs="宋体"/>
              </w:rPr>
              <w:br w:type="textWrapping"/>
            </w:r>
            <w:r>
              <w:rPr>
                <w:rFonts w:hint="eastAsia" w:ascii="宋体" w:hAnsi="宋体" w:cs="宋体"/>
              </w:rPr>
              <w:t>交互 头盔 Inside-out头部6DoF，高清彩色透视和多房间护导系统，手势识别，眼球追踪，面部识别</w:t>
            </w:r>
            <w:r>
              <w:rPr>
                <w:rFonts w:hint="eastAsia" w:ascii="宋体" w:hAnsi="宋体" w:cs="宋体"/>
              </w:rPr>
              <w:br w:type="textWrapping"/>
            </w:r>
            <w:r>
              <w:rPr>
                <w:rFonts w:hint="eastAsia" w:ascii="宋体" w:hAnsi="宋体" w:cs="宋体"/>
              </w:rPr>
              <w:t>手柄 6DoF宽屏触感手柄x2</w:t>
            </w:r>
            <w:r>
              <w:rPr>
                <w:rFonts w:hint="eastAsia" w:ascii="宋体" w:hAnsi="宋体" w:cs="宋体"/>
              </w:rPr>
              <w:br w:type="textWrapping"/>
            </w:r>
            <w:r>
              <w:rPr>
                <w:rFonts w:hint="eastAsia" w:ascii="宋体" w:hAnsi="宋体" w:cs="宋体"/>
              </w:rPr>
              <w:t>手势识别 双手28自由度追踪，支持5种手势模型</w:t>
            </w:r>
            <w:r>
              <w:rPr>
                <w:rFonts w:hint="eastAsia" w:ascii="宋体" w:hAnsi="宋体" w:cs="宋体"/>
              </w:rPr>
              <w:br w:type="textWrapping"/>
            </w:r>
            <w:r>
              <w:rPr>
                <w:rFonts w:hint="eastAsia" w:ascii="宋体" w:hAnsi="宋体" w:cs="宋体"/>
              </w:rPr>
              <w:t>机身按键 电源键/音量+/音量-</w:t>
            </w:r>
            <w:r>
              <w:rPr>
                <w:rFonts w:hint="eastAsia" w:ascii="宋体" w:hAnsi="宋体" w:cs="宋体"/>
              </w:rPr>
              <w:br w:type="textWrapping"/>
            </w:r>
            <w:r>
              <w:rPr>
                <w:rFonts w:hint="eastAsia" w:ascii="宋体" w:hAnsi="宋体" w:cs="宋体"/>
              </w:rPr>
              <w:t>设计与人体工程 绑带 硬质可旋转侧绑带，单手旋钮调节，可拆卸顶绑带</w:t>
            </w:r>
            <w:r>
              <w:rPr>
                <w:rFonts w:hint="eastAsia" w:ascii="宋体" w:hAnsi="宋体" w:cs="宋体"/>
              </w:rPr>
              <w:br w:type="textWrapping"/>
            </w:r>
            <w:r>
              <w:rPr>
                <w:rFonts w:hint="eastAsia" w:ascii="宋体" w:hAnsi="宋体" w:cs="宋体"/>
              </w:rPr>
              <w:t>泡棉 独立可替换的PU贴脸泡棉</w:t>
            </w:r>
            <w:r>
              <w:rPr>
                <w:rFonts w:hint="eastAsia" w:ascii="宋体" w:hAnsi="宋体" w:cs="宋体"/>
              </w:rPr>
              <w:br w:type="textWrapping"/>
            </w:r>
            <w:r>
              <w:rPr>
                <w:rFonts w:hint="eastAsia" w:ascii="宋体" w:hAnsi="宋体" w:cs="宋体"/>
              </w:rPr>
              <w:t>散热 内含静音风扇，透气设计，佩戴体验更清爽，不易起雾</w:t>
            </w:r>
            <w:r>
              <w:rPr>
                <w:rFonts w:hint="eastAsia" w:ascii="宋体" w:hAnsi="宋体" w:cs="宋体"/>
              </w:rPr>
              <w:br w:type="textWrapping"/>
            </w:r>
            <w:r>
              <w:rPr>
                <w:rFonts w:hint="eastAsia" w:ascii="宋体" w:hAnsi="宋体" w:cs="宋体"/>
              </w:rPr>
              <w:t>人体工程设计 前置头盔和后置电池组成更为合理的力学分担设计，佩戴面部舒适</w:t>
            </w:r>
            <w:r>
              <w:rPr>
                <w:rFonts w:hint="eastAsia" w:ascii="宋体" w:hAnsi="宋体" w:cs="宋体"/>
              </w:rPr>
              <w:br w:type="textWrapping"/>
            </w:r>
            <w:r>
              <w:rPr>
                <w:rFonts w:hint="eastAsia" w:ascii="宋体" w:hAnsi="宋体" w:cs="宋体"/>
              </w:rPr>
              <w:t>电源 充电 高通平台快充QC 3.0，USB PD快充3.0</w:t>
            </w:r>
            <w:r>
              <w:rPr>
                <w:rFonts w:hint="eastAsia" w:ascii="宋体" w:hAnsi="宋体" w:cs="宋体"/>
              </w:rPr>
              <w:br w:type="textWrapping"/>
            </w:r>
            <w:r>
              <w:rPr>
                <w:rFonts w:hint="eastAsia" w:ascii="宋体" w:hAnsi="宋体" w:cs="宋体"/>
              </w:rPr>
              <w:t>电池容量 5300mAh</w:t>
            </w:r>
            <w:r>
              <w:rPr>
                <w:rFonts w:hint="eastAsia" w:ascii="宋体" w:hAnsi="宋体" w:cs="宋体"/>
              </w:rPr>
              <w:br w:type="textWrapping"/>
            </w:r>
            <w:r>
              <w:rPr>
                <w:rFonts w:hint="eastAsia" w:ascii="宋体" w:hAnsi="宋体" w:cs="宋体"/>
              </w:rPr>
              <w:t>接口 扬声器 360°环绕一体式立体声喇叭，支持3D空间音效；低频低至200Hz</w:t>
            </w:r>
            <w:r>
              <w:rPr>
                <w:rFonts w:hint="eastAsia" w:ascii="宋体" w:hAnsi="宋体" w:cs="宋体"/>
              </w:rPr>
              <w:br w:type="textWrapping"/>
            </w:r>
            <w:r>
              <w:rPr>
                <w:rFonts w:hint="eastAsia" w:ascii="宋体" w:hAnsi="宋体" w:cs="宋体"/>
              </w:rPr>
              <w:t>麦克风 全指向双麦克风布局，高达30db环境噪声抑制和50db回声抑制，实现清晰通话质量</w:t>
            </w:r>
            <w:r>
              <w:rPr>
                <w:rFonts w:hint="eastAsia" w:ascii="宋体" w:hAnsi="宋体" w:cs="宋体"/>
              </w:rPr>
              <w:br w:type="textWrapping"/>
            </w:r>
            <w:r>
              <w:rPr>
                <w:rFonts w:hint="eastAsia" w:ascii="宋体" w:hAnsi="宋体" w:cs="宋体"/>
              </w:rPr>
              <w:t>USB Type-C 3.0 USB 3.0数据传输（需单独购买，标配数据线仅支持USB 2.0）</w:t>
            </w:r>
            <w:r>
              <w:rPr>
                <w:rFonts w:hint="eastAsia" w:ascii="宋体" w:hAnsi="宋体" w:cs="宋体"/>
              </w:rPr>
              <w:br w:type="textWrapping"/>
            </w:r>
            <w:r>
              <w:rPr>
                <w:rFonts w:hint="eastAsia" w:ascii="宋体" w:hAnsi="宋体" w:cs="宋体"/>
              </w:rPr>
              <w:t>5V/1A OTG扩展供电能力</w:t>
            </w:r>
            <w:r>
              <w:rPr>
                <w:rFonts w:hint="eastAsia" w:ascii="宋体" w:hAnsi="宋体" w:cs="宋体"/>
              </w:rPr>
              <w:br w:type="textWrapping"/>
            </w:r>
            <w:r>
              <w:rPr>
                <w:rFonts w:hint="eastAsia" w:ascii="宋体" w:hAnsi="宋体" w:cs="宋体"/>
              </w:rPr>
              <w:t>USB 3.0 OTG扩展功能（需单独购买USB 3.0 OTG转接线）</w:t>
            </w:r>
            <w:r>
              <w:rPr>
                <w:rFonts w:hint="eastAsia" w:ascii="宋体" w:hAnsi="宋体" w:cs="宋体"/>
              </w:rPr>
              <w:br w:type="textWrapping"/>
            </w:r>
            <w:r>
              <w:rPr>
                <w:rFonts w:hint="eastAsia" w:ascii="宋体" w:hAnsi="宋体" w:cs="宋体"/>
              </w:rPr>
              <w:t>LED指示灯 三色LED，显示开机、关机、充电状态</w:t>
            </w:r>
            <w:r>
              <w:rPr>
                <w:rFonts w:hint="eastAsia" w:ascii="宋体" w:hAnsi="宋体" w:cs="宋体"/>
              </w:rPr>
              <w:br w:type="textWrapping"/>
            </w:r>
            <w:r>
              <w:rPr>
                <w:rFonts w:hint="eastAsia" w:ascii="宋体" w:hAnsi="宋体" w:cs="宋体"/>
              </w:rPr>
              <w:t>手柄 追踪技术 红外，20只</w:t>
            </w:r>
            <w:r>
              <w:rPr>
                <w:rFonts w:hint="eastAsia" w:ascii="宋体" w:hAnsi="宋体" w:cs="宋体"/>
              </w:rPr>
              <w:br w:type="textWrapping"/>
            </w:r>
            <w:r>
              <w:rPr>
                <w:rFonts w:hint="eastAsia" w:ascii="宋体" w:hAnsi="宋体" w:cs="宋体"/>
              </w:rPr>
              <w:t>传感器 6轴传感器</w:t>
            </w:r>
            <w:r>
              <w:rPr>
                <w:rFonts w:hint="eastAsia" w:ascii="宋体" w:hAnsi="宋体" w:cs="宋体"/>
              </w:rPr>
              <w:br w:type="textWrapping"/>
            </w:r>
            <w:r>
              <w:rPr>
                <w:rFonts w:hint="eastAsia" w:ascii="宋体" w:hAnsi="宋体" w:cs="宋体"/>
              </w:rPr>
              <w:t>电机 宽频马达，50~500Hz，F0 65Hz最大振动量2.5G</w:t>
            </w:r>
            <w:r>
              <w:rPr>
                <w:rFonts w:hint="eastAsia" w:ascii="宋体" w:hAnsi="宋体" w:cs="宋体"/>
              </w:rPr>
              <w:br w:type="textWrapping"/>
            </w:r>
            <w:r>
              <w:rPr>
                <w:rFonts w:hint="eastAsia" w:ascii="宋体" w:hAnsi="宋体" w:cs="宋体"/>
              </w:rPr>
              <w:t>蓝牙 5.1</w:t>
            </w:r>
            <w:r>
              <w:rPr>
                <w:rFonts w:hint="eastAsia" w:ascii="宋体" w:hAnsi="宋体" w:cs="宋体"/>
              </w:rPr>
              <w:br w:type="textWrapping"/>
            </w:r>
            <w:r>
              <w:rPr>
                <w:rFonts w:hint="eastAsia" w:ascii="宋体" w:hAnsi="宋体" w:cs="宋体"/>
              </w:rPr>
              <w:t>按键 摇杆键/扳机键/抓握键/菜单键/截录屏键/Home键/X/Y（左手）/A/B（右手）</w:t>
            </w:r>
            <w:r>
              <w:rPr>
                <w:rFonts w:hint="eastAsia" w:ascii="宋体" w:hAnsi="宋体" w:cs="宋体"/>
              </w:rPr>
              <w:br w:type="textWrapping"/>
            </w:r>
            <w:r>
              <w:rPr>
                <w:rFonts w:hint="eastAsia" w:ascii="宋体" w:hAnsi="宋体" w:cs="宋体"/>
              </w:rPr>
              <w:t>电池 2节1.5V AA碱性电池/单手柄</w:t>
            </w:r>
          </w:p>
        </w:tc>
        <w:tc>
          <w:tcPr>
            <w:tcW w:w="357" w:type="pct"/>
            <w:vAlign w:val="center"/>
          </w:tcPr>
          <w:p w14:paraId="505FB2E2">
            <w:pPr>
              <w:jc w:val="center"/>
              <w:rPr>
                <w:rFonts w:hint="eastAsia" w:ascii="宋体" w:hAnsi="宋体" w:cs="宋体"/>
                <w:szCs w:val="21"/>
              </w:rPr>
            </w:pPr>
            <w:r>
              <w:rPr>
                <w:rFonts w:hint="eastAsia" w:ascii="宋体" w:hAnsi="宋体" w:cs="宋体"/>
                <w:szCs w:val="21"/>
              </w:rPr>
              <w:t>2</w:t>
            </w:r>
          </w:p>
        </w:tc>
        <w:tc>
          <w:tcPr>
            <w:tcW w:w="341" w:type="pct"/>
            <w:vAlign w:val="center"/>
          </w:tcPr>
          <w:p w14:paraId="025E579B">
            <w:pPr>
              <w:jc w:val="center"/>
              <w:rPr>
                <w:rFonts w:hint="eastAsia" w:ascii="宋体" w:hAnsi="宋体" w:cs="宋体"/>
                <w:szCs w:val="21"/>
              </w:rPr>
            </w:pPr>
            <w:r>
              <w:rPr>
                <w:rFonts w:hint="eastAsia" w:ascii="宋体" w:hAnsi="宋体" w:cs="宋体"/>
                <w:szCs w:val="21"/>
              </w:rPr>
              <w:t>套</w:t>
            </w:r>
          </w:p>
        </w:tc>
      </w:tr>
      <w:tr w14:paraId="39D6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36184B30">
            <w:pPr>
              <w:jc w:val="center"/>
              <w:rPr>
                <w:rFonts w:hint="eastAsia" w:ascii="宋体" w:hAnsi="宋体" w:cs="宋体"/>
                <w:b/>
                <w:bCs/>
                <w:szCs w:val="21"/>
              </w:rPr>
            </w:pPr>
            <w:r>
              <w:rPr>
                <w:rFonts w:hint="eastAsia" w:ascii="宋体" w:hAnsi="宋体" w:cs="宋体"/>
                <w:szCs w:val="21"/>
              </w:rPr>
              <w:t>31</w:t>
            </w:r>
          </w:p>
        </w:tc>
        <w:tc>
          <w:tcPr>
            <w:tcW w:w="536" w:type="pct"/>
            <w:vAlign w:val="center"/>
          </w:tcPr>
          <w:p w14:paraId="5D094854">
            <w:pPr>
              <w:pStyle w:val="80"/>
              <w:jc w:val="center"/>
              <w:rPr>
                <w:rFonts w:hint="eastAsia" w:ascii="宋体" w:hAnsi="宋体" w:cs="宋体"/>
              </w:rPr>
            </w:pPr>
            <w:r>
              <w:rPr>
                <w:rFonts w:hint="eastAsia" w:ascii="宋体" w:hAnsi="宋体" w:cs="宋体"/>
              </w:rPr>
              <w:t>5G视频传输模块及实施</w:t>
            </w:r>
          </w:p>
        </w:tc>
        <w:tc>
          <w:tcPr>
            <w:tcW w:w="3571" w:type="pct"/>
            <w:vAlign w:val="center"/>
          </w:tcPr>
          <w:p w14:paraId="48289AD4">
            <w:pPr>
              <w:pStyle w:val="80"/>
              <w:ind w:left="105" w:leftChars="50"/>
              <w:jc w:val="left"/>
              <w:rPr>
                <w:rFonts w:hint="eastAsia" w:ascii="宋体" w:hAnsi="宋体" w:cs="宋体"/>
              </w:rPr>
            </w:pPr>
            <w:r>
              <w:rPr>
                <w:rFonts w:hint="eastAsia" w:ascii="宋体" w:hAnsi="宋体" w:cs="宋体"/>
              </w:rPr>
              <w:t>5G视频传输模块及实施要求:无线影音传输器材，型号: 有线+无线同屏器</w:t>
            </w:r>
          </w:p>
        </w:tc>
        <w:tc>
          <w:tcPr>
            <w:tcW w:w="357" w:type="pct"/>
            <w:vAlign w:val="center"/>
          </w:tcPr>
          <w:p w14:paraId="58C88876">
            <w:pPr>
              <w:jc w:val="center"/>
              <w:rPr>
                <w:rFonts w:hint="eastAsia" w:ascii="宋体" w:hAnsi="宋体" w:cs="宋体"/>
                <w:szCs w:val="21"/>
              </w:rPr>
            </w:pPr>
            <w:r>
              <w:rPr>
                <w:rFonts w:hint="eastAsia" w:ascii="宋体" w:hAnsi="宋体" w:cs="宋体"/>
                <w:szCs w:val="21"/>
              </w:rPr>
              <w:t>5</w:t>
            </w:r>
          </w:p>
        </w:tc>
        <w:tc>
          <w:tcPr>
            <w:tcW w:w="341" w:type="pct"/>
            <w:vAlign w:val="center"/>
          </w:tcPr>
          <w:p w14:paraId="202801B8">
            <w:pPr>
              <w:jc w:val="center"/>
              <w:rPr>
                <w:rFonts w:hint="eastAsia" w:ascii="宋体" w:hAnsi="宋体" w:cs="宋体"/>
                <w:szCs w:val="21"/>
              </w:rPr>
            </w:pPr>
            <w:r>
              <w:rPr>
                <w:rFonts w:hint="eastAsia" w:ascii="宋体" w:hAnsi="宋体" w:cs="宋体"/>
                <w:szCs w:val="21"/>
              </w:rPr>
              <w:t>套</w:t>
            </w:r>
          </w:p>
        </w:tc>
      </w:tr>
      <w:tr w14:paraId="2877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7A61112A">
            <w:pPr>
              <w:jc w:val="center"/>
              <w:rPr>
                <w:rFonts w:hint="eastAsia" w:ascii="宋体" w:hAnsi="宋体" w:cs="宋体"/>
                <w:b/>
                <w:bCs/>
                <w:szCs w:val="21"/>
              </w:rPr>
            </w:pPr>
            <w:r>
              <w:rPr>
                <w:rFonts w:hint="eastAsia" w:ascii="宋体" w:hAnsi="宋体" w:cs="宋体"/>
                <w:szCs w:val="21"/>
              </w:rPr>
              <w:t>32</w:t>
            </w:r>
          </w:p>
        </w:tc>
        <w:tc>
          <w:tcPr>
            <w:tcW w:w="536" w:type="pct"/>
            <w:vAlign w:val="center"/>
          </w:tcPr>
          <w:p w14:paraId="78DC7529">
            <w:pPr>
              <w:pStyle w:val="80"/>
              <w:jc w:val="center"/>
              <w:rPr>
                <w:rFonts w:hint="eastAsia" w:ascii="宋体" w:hAnsi="宋体" w:cs="宋体"/>
              </w:rPr>
            </w:pPr>
            <w:r>
              <w:rPr>
                <w:rFonts w:hint="eastAsia" w:ascii="宋体" w:hAnsi="宋体" w:cs="宋体"/>
              </w:rPr>
              <w:t>显示终端</w:t>
            </w:r>
          </w:p>
        </w:tc>
        <w:tc>
          <w:tcPr>
            <w:tcW w:w="3571" w:type="pct"/>
            <w:vAlign w:val="center"/>
          </w:tcPr>
          <w:p w14:paraId="3C879E4E">
            <w:pPr>
              <w:pStyle w:val="80"/>
              <w:ind w:left="105" w:leftChars="50"/>
              <w:jc w:val="left"/>
              <w:rPr>
                <w:rFonts w:hint="eastAsia" w:ascii="宋体" w:hAnsi="宋体" w:cs="宋体"/>
              </w:rPr>
            </w:pPr>
            <w:r>
              <w:rPr>
                <w:rFonts w:hint="eastAsia" w:ascii="宋体" w:hAnsi="宋体" w:cs="宋体"/>
              </w:rPr>
              <w:t>显示终端不小于32寸，分辨率不小于720P（1366*768），屏幕比例 16:9，背光源 LED，推荐观看距离 1.8-2.5米</w:t>
            </w:r>
          </w:p>
        </w:tc>
        <w:tc>
          <w:tcPr>
            <w:tcW w:w="357" w:type="pct"/>
            <w:vAlign w:val="center"/>
          </w:tcPr>
          <w:p w14:paraId="39D0EC48">
            <w:pPr>
              <w:jc w:val="center"/>
              <w:rPr>
                <w:rFonts w:hint="eastAsia" w:ascii="宋体" w:hAnsi="宋体" w:cs="宋体"/>
                <w:szCs w:val="21"/>
              </w:rPr>
            </w:pPr>
            <w:r>
              <w:rPr>
                <w:rFonts w:hint="eastAsia" w:ascii="宋体" w:hAnsi="宋体" w:cs="宋体"/>
                <w:szCs w:val="21"/>
              </w:rPr>
              <w:t>5</w:t>
            </w:r>
          </w:p>
        </w:tc>
        <w:tc>
          <w:tcPr>
            <w:tcW w:w="341" w:type="pct"/>
            <w:vAlign w:val="center"/>
          </w:tcPr>
          <w:p w14:paraId="1F0546BF">
            <w:pPr>
              <w:jc w:val="center"/>
              <w:rPr>
                <w:rFonts w:hint="eastAsia" w:ascii="宋体" w:hAnsi="宋体" w:cs="宋体"/>
                <w:szCs w:val="21"/>
              </w:rPr>
            </w:pPr>
            <w:r>
              <w:rPr>
                <w:rFonts w:hint="eastAsia" w:ascii="宋体" w:hAnsi="宋体" w:cs="宋体"/>
                <w:szCs w:val="21"/>
              </w:rPr>
              <w:t>套</w:t>
            </w:r>
          </w:p>
        </w:tc>
      </w:tr>
      <w:tr w14:paraId="14DE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187BC9F0">
            <w:pPr>
              <w:jc w:val="center"/>
              <w:rPr>
                <w:rFonts w:hint="eastAsia" w:ascii="宋体" w:hAnsi="宋体" w:cs="宋体"/>
                <w:b/>
                <w:bCs/>
                <w:szCs w:val="21"/>
              </w:rPr>
            </w:pPr>
            <w:r>
              <w:rPr>
                <w:rFonts w:hint="eastAsia" w:ascii="宋体" w:hAnsi="宋体" w:cs="宋体"/>
                <w:szCs w:val="21"/>
              </w:rPr>
              <w:t>33</w:t>
            </w:r>
          </w:p>
        </w:tc>
        <w:tc>
          <w:tcPr>
            <w:tcW w:w="536" w:type="pct"/>
            <w:vAlign w:val="center"/>
          </w:tcPr>
          <w:p w14:paraId="5FFEBF3F">
            <w:pPr>
              <w:pStyle w:val="80"/>
              <w:jc w:val="center"/>
              <w:rPr>
                <w:rFonts w:hint="eastAsia" w:ascii="宋体" w:hAnsi="宋体" w:cs="宋体"/>
              </w:rPr>
            </w:pPr>
            <w:r>
              <w:rPr>
                <w:rFonts w:hint="eastAsia" w:ascii="宋体" w:hAnsi="宋体" w:cs="宋体"/>
              </w:rPr>
              <w:t>可分解式六人工作岛</w:t>
            </w:r>
          </w:p>
        </w:tc>
        <w:tc>
          <w:tcPr>
            <w:tcW w:w="3571" w:type="pct"/>
            <w:vAlign w:val="center"/>
          </w:tcPr>
          <w:p w14:paraId="4AFBC388">
            <w:pPr>
              <w:pStyle w:val="80"/>
              <w:ind w:left="105" w:leftChars="50"/>
              <w:jc w:val="left"/>
              <w:rPr>
                <w:rFonts w:hint="eastAsia" w:ascii="宋体" w:hAnsi="宋体" w:cs="宋体"/>
              </w:rPr>
            </w:pPr>
            <w:r>
              <w:rPr>
                <w:rFonts w:hint="eastAsia" w:ascii="宋体" w:hAnsi="宋体" w:cs="宋体"/>
              </w:rPr>
              <w:t>尺寸≥1200*1200*750cm，细选板材，烤漆脚架，大方实用，可翻转折叠，节约空间，铝合金压铸一体成型结实耐用不生锈，静音万向轮，配套6学生工位。</w:t>
            </w:r>
          </w:p>
        </w:tc>
        <w:tc>
          <w:tcPr>
            <w:tcW w:w="357" w:type="pct"/>
            <w:vAlign w:val="center"/>
          </w:tcPr>
          <w:p w14:paraId="3789049C">
            <w:pPr>
              <w:jc w:val="center"/>
              <w:rPr>
                <w:rFonts w:hint="eastAsia" w:ascii="宋体" w:hAnsi="宋体" w:cs="宋体"/>
                <w:szCs w:val="21"/>
              </w:rPr>
            </w:pPr>
            <w:r>
              <w:rPr>
                <w:rFonts w:hint="eastAsia" w:ascii="宋体" w:hAnsi="宋体" w:cs="宋体"/>
                <w:szCs w:val="21"/>
              </w:rPr>
              <w:t>5</w:t>
            </w:r>
          </w:p>
        </w:tc>
        <w:tc>
          <w:tcPr>
            <w:tcW w:w="341" w:type="pct"/>
            <w:vAlign w:val="center"/>
          </w:tcPr>
          <w:p w14:paraId="1E82A419">
            <w:pPr>
              <w:jc w:val="center"/>
              <w:rPr>
                <w:rFonts w:hint="eastAsia" w:ascii="宋体" w:hAnsi="宋体" w:cs="宋体"/>
                <w:szCs w:val="21"/>
              </w:rPr>
            </w:pPr>
            <w:r>
              <w:rPr>
                <w:rFonts w:hint="eastAsia" w:ascii="宋体" w:hAnsi="宋体" w:cs="宋体"/>
                <w:szCs w:val="21"/>
              </w:rPr>
              <w:t>套</w:t>
            </w:r>
          </w:p>
        </w:tc>
      </w:tr>
      <w:tr w14:paraId="2980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27C7C9EE">
            <w:pPr>
              <w:jc w:val="center"/>
              <w:rPr>
                <w:rFonts w:hint="eastAsia" w:ascii="宋体" w:hAnsi="宋体" w:cs="宋体"/>
                <w:b/>
                <w:bCs/>
                <w:szCs w:val="21"/>
              </w:rPr>
            </w:pPr>
            <w:r>
              <w:rPr>
                <w:rFonts w:hint="eastAsia" w:ascii="宋体" w:hAnsi="宋体" w:cs="宋体"/>
                <w:szCs w:val="21"/>
              </w:rPr>
              <w:t>34</w:t>
            </w:r>
          </w:p>
        </w:tc>
        <w:tc>
          <w:tcPr>
            <w:tcW w:w="536" w:type="pct"/>
            <w:vAlign w:val="center"/>
          </w:tcPr>
          <w:p w14:paraId="369A6FFA">
            <w:pPr>
              <w:pStyle w:val="80"/>
              <w:jc w:val="center"/>
              <w:rPr>
                <w:rFonts w:hint="eastAsia" w:ascii="宋体" w:hAnsi="宋体" w:cs="宋体"/>
              </w:rPr>
            </w:pPr>
            <w:r>
              <w:rPr>
                <w:rFonts w:hint="eastAsia" w:ascii="宋体" w:hAnsi="宋体" w:cs="宋体"/>
              </w:rPr>
              <w:t>教学移动终端</w:t>
            </w:r>
          </w:p>
        </w:tc>
        <w:tc>
          <w:tcPr>
            <w:tcW w:w="3571" w:type="pct"/>
            <w:vAlign w:val="center"/>
          </w:tcPr>
          <w:p w14:paraId="5DC68C5B">
            <w:pPr>
              <w:pStyle w:val="80"/>
              <w:ind w:left="105" w:leftChars="50"/>
              <w:jc w:val="left"/>
              <w:rPr>
                <w:rFonts w:hint="eastAsia" w:ascii="宋体" w:hAnsi="宋体" w:cs="宋体"/>
              </w:rPr>
            </w:pPr>
            <w:r>
              <w:rPr>
                <w:rFonts w:hint="eastAsia" w:ascii="宋体" w:hAnsi="宋体" w:cs="宋体"/>
              </w:rPr>
              <w:t>一、产品优点及特性：</w:t>
            </w:r>
            <w:r>
              <w:rPr>
                <w:rFonts w:hint="eastAsia" w:ascii="宋体" w:hAnsi="宋体" w:cs="宋体"/>
              </w:rPr>
              <w:br w:type="textWrapping"/>
            </w:r>
            <w:r>
              <w:rPr>
                <w:rFonts w:hint="eastAsia" w:ascii="宋体" w:hAnsi="宋体" w:cs="宋体"/>
              </w:rPr>
              <w:t>1、4K超清分辨率，采用AG防眩光屏幕，莫氏7级硬度，画面柔和清晰</w:t>
            </w:r>
            <w:r>
              <w:rPr>
                <w:rFonts w:hint="eastAsia" w:ascii="宋体" w:hAnsi="宋体" w:cs="宋体"/>
              </w:rPr>
              <w:br w:type="textWrapping"/>
            </w:r>
            <w:r>
              <w:rPr>
                <w:rFonts w:hint="eastAsia" w:ascii="宋体" w:hAnsi="宋体" w:cs="宋体"/>
              </w:rPr>
              <w:t>2、全金属材质超窄边框设计，外观简约，前附双磁吸笔，使用前后取放方便</w:t>
            </w:r>
            <w:r>
              <w:rPr>
                <w:rFonts w:hint="eastAsia" w:ascii="宋体" w:hAnsi="宋体" w:cs="宋体"/>
              </w:rPr>
              <w:br w:type="textWrapping"/>
            </w:r>
            <w:r>
              <w:rPr>
                <w:rFonts w:hint="eastAsia" w:ascii="宋体" w:hAnsi="宋体" w:cs="宋体"/>
              </w:rPr>
              <w:t>3、电脑模块化设计，OPS/抽拉式PC设置，便于维护</w:t>
            </w:r>
            <w:r>
              <w:rPr>
                <w:rFonts w:hint="eastAsia" w:ascii="宋体" w:hAnsi="宋体" w:cs="宋体"/>
              </w:rPr>
              <w:br w:type="textWrapping"/>
            </w:r>
            <w:r>
              <w:rPr>
                <w:rFonts w:hint="eastAsia" w:ascii="宋体" w:hAnsi="宋体" w:cs="宋体"/>
              </w:rPr>
              <w:t>4、Android/Windows双系统支持，一键切换，兼容更多软件，满足更多需求</w:t>
            </w:r>
            <w:r>
              <w:rPr>
                <w:rFonts w:hint="eastAsia" w:ascii="宋体" w:hAnsi="宋体" w:cs="宋体"/>
              </w:rPr>
              <w:br w:type="textWrapping"/>
            </w:r>
            <w:r>
              <w:rPr>
                <w:rFonts w:hint="eastAsia" w:ascii="宋体" w:hAnsi="宋体" w:cs="宋体"/>
              </w:rPr>
              <w:t>5、电子白板：顺滑书写，支持20点触控，批注、绘画、擦除、图像放大缩小和旋转，并支持手机扫码一键保存白板内容</w:t>
            </w:r>
            <w:r>
              <w:rPr>
                <w:rFonts w:hint="eastAsia" w:ascii="宋体" w:hAnsi="宋体" w:cs="宋体"/>
              </w:rPr>
              <w:br w:type="textWrapping"/>
            </w:r>
            <w:r>
              <w:rPr>
                <w:rFonts w:hint="eastAsia" w:ascii="宋体" w:hAnsi="宋体" w:cs="宋体"/>
              </w:rPr>
              <w:t>6、无线投屏：支持无线投屏，同屏多分屏功能（支持Android、Windows、IOS、Mac/OS），支持4个设备同时同屏</w:t>
            </w:r>
            <w:r>
              <w:rPr>
                <w:rFonts w:hint="eastAsia" w:ascii="宋体" w:hAnsi="宋体" w:cs="宋体"/>
              </w:rPr>
              <w:br w:type="textWrapping"/>
            </w:r>
            <w:r>
              <w:rPr>
                <w:rFonts w:hint="eastAsia" w:ascii="宋体" w:hAnsi="宋体" w:cs="宋体"/>
              </w:rPr>
              <w:t>7、远程视频：支持远程视频会议，多方异地会议，远程PPT演讲，远程桌面共享，支持流畅，标清，高清多种模式</w:t>
            </w:r>
            <w:r>
              <w:rPr>
                <w:rFonts w:hint="eastAsia" w:ascii="宋体" w:hAnsi="宋体" w:cs="宋体"/>
              </w:rPr>
              <w:br w:type="textWrapping"/>
            </w:r>
            <w:r>
              <w:rPr>
                <w:rFonts w:hint="eastAsia" w:ascii="宋体" w:hAnsi="宋体" w:cs="宋体"/>
              </w:rPr>
              <w:t>8、会议培训：内置office,看图，视频播放器等办公实用工具，内置无线WIFI，网卡，支持无线上网，支持将手机、平板、Pad等设备画面同步传送到平板上，支持异地多方远程会议，远程PPT演讲， 远程桌面共享</w:t>
            </w:r>
            <w:r>
              <w:rPr>
                <w:rFonts w:hint="eastAsia" w:ascii="宋体" w:hAnsi="宋体" w:cs="宋体"/>
              </w:rPr>
              <w:br w:type="textWrapping"/>
            </w:r>
            <w:r>
              <w:rPr>
                <w:rFonts w:hint="eastAsia" w:ascii="宋体" w:hAnsi="宋体" w:cs="宋体"/>
              </w:rPr>
              <w:t>9、商业展示：自定义开机画面、主题和背景，本地媒体播放器支持自动分类，满足不同场合需求；内置专业多媒体播放软件，播放软件支持分屏播放（一分屏，二分屏，三分屏）；可选互动触摸查询系统，政务查询，企业介绍，文化宣传，业务介绍，让会议机变身自助查询机；侧边栏按钮、手势唤出方式和触摸控制开关自由切换，让会议机变身广告展示机</w:t>
            </w:r>
            <w:r>
              <w:rPr>
                <w:rFonts w:hint="eastAsia" w:ascii="宋体" w:hAnsi="宋体" w:cs="宋体"/>
              </w:rPr>
              <w:br w:type="textWrapping"/>
            </w:r>
            <w:r>
              <w:rPr>
                <w:rFonts w:hint="eastAsia" w:ascii="宋体" w:hAnsi="宋体" w:cs="宋体"/>
              </w:rPr>
              <w:t>二、产品参数配置要求：</w:t>
            </w:r>
            <w:r>
              <w:rPr>
                <w:rFonts w:hint="eastAsia" w:ascii="宋体" w:hAnsi="宋体" w:cs="宋体"/>
              </w:rPr>
              <w:br w:type="textWrapping"/>
            </w:r>
            <w:r>
              <w:rPr>
                <w:rFonts w:hint="eastAsia" w:ascii="宋体" w:hAnsi="宋体" w:cs="宋体"/>
              </w:rPr>
              <w:t>显示 尺寸 86英寸</w:t>
            </w:r>
            <w:r>
              <w:rPr>
                <w:rFonts w:hint="eastAsia" w:ascii="宋体" w:hAnsi="宋体" w:cs="宋体"/>
              </w:rPr>
              <w:br w:type="textWrapping"/>
            </w:r>
            <w:r>
              <w:rPr>
                <w:rFonts w:hint="eastAsia" w:ascii="宋体" w:hAnsi="宋体" w:cs="宋体"/>
              </w:rPr>
              <w:t xml:space="preserve"> 屏幕类型 LED液晶屏（A规）</w:t>
            </w:r>
            <w:r>
              <w:rPr>
                <w:rFonts w:hint="eastAsia" w:ascii="宋体" w:hAnsi="宋体" w:cs="宋体"/>
              </w:rPr>
              <w:br w:type="textWrapping"/>
            </w:r>
            <w:r>
              <w:rPr>
                <w:rFonts w:hint="eastAsia" w:ascii="宋体" w:hAnsi="宋体" w:cs="宋体"/>
              </w:rPr>
              <w:t xml:space="preserve"> 背光类型 D-LED</w:t>
            </w:r>
            <w:r>
              <w:rPr>
                <w:rFonts w:hint="eastAsia" w:ascii="宋体" w:hAnsi="宋体" w:cs="宋体"/>
              </w:rPr>
              <w:br w:type="textWrapping"/>
            </w:r>
            <w:r>
              <w:rPr>
                <w:rFonts w:hint="eastAsia" w:ascii="宋体" w:hAnsi="宋体" w:cs="宋体"/>
              </w:rPr>
              <w:t xml:space="preserve"> 显示区域 1895(W)×1066(H)mm</w:t>
            </w:r>
            <w:r>
              <w:rPr>
                <w:rFonts w:hint="eastAsia" w:ascii="宋体" w:hAnsi="宋体" w:cs="宋体"/>
              </w:rPr>
              <w:br w:type="textWrapping"/>
            </w:r>
            <w:r>
              <w:rPr>
                <w:rFonts w:hint="eastAsia" w:ascii="宋体" w:hAnsi="宋体" w:cs="宋体"/>
              </w:rPr>
              <w:t xml:space="preserve"> 分辨率 3840×2160（FHD）</w:t>
            </w:r>
            <w:r>
              <w:rPr>
                <w:rFonts w:hint="eastAsia" w:ascii="宋体" w:hAnsi="宋体" w:cs="宋体"/>
              </w:rPr>
              <w:br w:type="textWrapping"/>
            </w:r>
            <w:r>
              <w:rPr>
                <w:rFonts w:hint="eastAsia" w:ascii="宋体" w:hAnsi="宋体" w:cs="宋体"/>
              </w:rPr>
              <w:t xml:space="preserve"> 亮度 400cd/m²</w:t>
            </w:r>
            <w:r>
              <w:rPr>
                <w:rFonts w:hint="eastAsia" w:ascii="宋体" w:hAnsi="宋体" w:cs="宋体"/>
              </w:rPr>
              <w:br w:type="textWrapping"/>
            </w:r>
            <w:r>
              <w:rPr>
                <w:rFonts w:hint="eastAsia" w:ascii="宋体" w:hAnsi="宋体" w:cs="宋体"/>
              </w:rPr>
              <w:t xml:space="preserve"> 响应时间 7ms</w:t>
            </w:r>
            <w:r>
              <w:rPr>
                <w:rFonts w:hint="eastAsia" w:ascii="宋体" w:hAnsi="宋体" w:cs="宋体"/>
              </w:rPr>
              <w:br w:type="textWrapping"/>
            </w:r>
            <w:r>
              <w:rPr>
                <w:rFonts w:hint="eastAsia" w:ascii="宋体" w:hAnsi="宋体" w:cs="宋体"/>
              </w:rPr>
              <w:t xml:space="preserve"> 对比度 1200:1</w:t>
            </w:r>
            <w:r>
              <w:rPr>
                <w:rFonts w:hint="eastAsia" w:ascii="宋体" w:hAnsi="宋体" w:cs="宋体"/>
              </w:rPr>
              <w:br w:type="textWrapping"/>
            </w:r>
            <w:r>
              <w:rPr>
                <w:rFonts w:hint="eastAsia" w:ascii="宋体" w:hAnsi="宋体" w:cs="宋体"/>
              </w:rPr>
              <w:t xml:space="preserve"> 色域 60% NTSC (CIE1931)</w:t>
            </w:r>
            <w:r>
              <w:rPr>
                <w:rFonts w:hint="eastAsia" w:ascii="宋体" w:hAnsi="宋体" w:cs="宋体"/>
              </w:rPr>
              <w:br w:type="textWrapping"/>
            </w:r>
            <w:r>
              <w:rPr>
                <w:rFonts w:hint="eastAsia" w:ascii="宋体" w:hAnsi="宋体" w:cs="宋体"/>
              </w:rPr>
              <w:t xml:space="preserve"> 可视角度 89/89/89/89 (Min.)(CR≥10)</w:t>
            </w:r>
            <w:r>
              <w:rPr>
                <w:rFonts w:hint="eastAsia" w:ascii="宋体" w:hAnsi="宋体" w:cs="宋体"/>
              </w:rPr>
              <w:br w:type="textWrapping"/>
            </w:r>
            <w:r>
              <w:rPr>
                <w:rFonts w:hint="eastAsia" w:ascii="宋体" w:hAnsi="宋体" w:cs="宋体"/>
              </w:rPr>
              <w:t xml:space="preserve"> 使用寿命 &gt;50000H</w:t>
            </w:r>
            <w:r>
              <w:rPr>
                <w:rFonts w:hint="eastAsia" w:ascii="宋体" w:hAnsi="宋体" w:cs="宋体"/>
              </w:rPr>
              <w:br w:type="textWrapping"/>
            </w:r>
            <w:r>
              <w:rPr>
                <w:rFonts w:hint="eastAsia" w:ascii="宋体" w:hAnsi="宋体" w:cs="宋体"/>
              </w:rPr>
              <w:t>Android系统 芯片 BSD.FT91</w:t>
            </w:r>
            <w:r>
              <w:rPr>
                <w:rFonts w:hint="eastAsia" w:ascii="宋体" w:hAnsi="宋体" w:cs="宋体"/>
              </w:rPr>
              <w:br w:type="textWrapping"/>
            </w:r>
            <w:r>
              <w:rPr>
                <w:rFonts w:hint="eastAsia" w:ascii="宋体" w:hAnsi="宋体" w:cs="宋体"/>
              </w:rPr>
              <w:t xml:space="preserve"> CPU ARMCortex-A53四核</w:t>
            </w:r>
            <w:r>
              <w:rPr>
                <w:rFonts w:hint="eastAsia" w:ascii="宋体" w:hAnsi="宋体" w:cs="宋体"/>
              </w:rPr>
              <w:br w:type="textWrapping"/>
            </w:r>
            <w:r>
              <w:rPr>
                <w:rFonts w:hint="eastAsia" w:ascii="宋体" w:hAnsi="宋体" w:cs="宋体"/>
              </w:rPr>
              <w:t xml:space="preserve"> GPU 双核Mali-720MP MP2</w:t>
            </w:r>
            <w:r>
              <w:rPr>
                <w:rFonts w:hint="eastAsia" w:ascii="宋体" w:hAnsi="宋体" w:cs="宋体"/>
              </w:rPr>
              <w:br w:type="textWrapping"/>
            </w:r>
            <w:r>
              <w:rPr>
                <w:rFonts w:hint="eastAsia" w:ascii="宋体" w:hAnsi="宋体" w:cs="宋体"/>
              </w:rPr>
              <w:t xml:space="preserve"> 系统支持 Android 6.0</w:t>
            </w:r>
            <w:r>
              <w:rPr>
                <w:rFonts w:hint="eastAsia" w:ascii="宋体" w:hAnsi="宋体" w:cs="宋体"/>
              </w:rPr>
              <w:br w:type="textWrapping"/>
            </w:r>
            <w:r>
              <w:rPr>
                <w:rFonts w:hint="eastAsia" w:ascii="宋体" w:hAnsi="宋体" w:cs="宋体"/>
              </w:rPr>
              <w:t xml:space="preserve"> 内部容量 2G+16G</w:t>
            </w:r>
            <w:r>
              <w:rPr>
                <w:rFonts w:hint="eastAsia" w:ascii="宋体" w:hAnsi="宋体" w:cs="宋体"/>
              </w:rPr>
              <w:br w:type="textWrapping"/>
            </w:r>
            <w:r>
              <w:rPr>
                <w:rFonts w:hint="eastAsia" w:ascii="宋体" w:hAnsi="宋体" w:cs="宋体"/>
              </w:rPr>
              <w:t xml:space="preserve"> 接口 HDMI、触摸接口、USB、电源、WIFI、VGA、LAN、AUDIO、RECOVE、MIC、POWER、耳机、TF、RS232、信号输入、AV、音频、同轴输出</w:t>
            </w:r>
            <w:r>
              <w:rPr>
                <w:rFonts w:hint="eastAsia" w:ascii="宋体" w:hAnsi="宋体" w:cs="宋体"/>
              </w:rPr>
              <w:br w:type="textWrapping"/>
            </w:r>
            <w:r>
              <w:rPr>
                <w:rFonts w:hint="eastAsia" w:ascii="宋体" w:hAnsi="宋体" w:cs="宋体"/>
              </w:rPr>
              <w:t>Windows系统</w:t>
            </w:r>
            <w:r>
              <w:rPr>
                <w:rFonts w:hint="eastAsia" w:ascii="宋体" w:hAnsi="宋体" w:cs="宋体"/>
              </w:rPr>
              <w:br w:type="textWrapping"/>
            </w:r>
            <w:r>
              <w:rPr>
                <w:rFonts w:hint="eastAsia" w:ascii="宋体" w:hAnsi="宋体" w:cs="宋体"/>
              </w:rPr>
              <w:t>（可选） 芯片 英特尔</w:t>
            </w:r>
            <w:r>
              <w:rPr>
                <w:rFonts w:hint="eastAsia" w:ascii="宋体" w:hAnsi="宋体" w:cs="宋体"/>
              </w:rPr>
              <w:br w:type="textWrapping"/>
            </w:r>
            <w:r>
              <w:rPr>
                <w:rFonts w:hint="eastAsia" w:ascii="宋体" w:hAnsi="宋体" w:cs="宋体"/>
              </w:rPr>
              <w:t xml:space="preserve"> CPU HM86-4代 i3/i5/i7（可选）</w:t>
            </w:r>
            <w:r>
              <w:rPr>
                <w:rFonts w:hint="eastAsia" w:ascii="宋体" w:hAnsi="宋体" w:cs="宋体"/>
              </w:rPr>
              <w:br w:type="textWrapping"/>
            </w:r>
            <w:r>
              <w:rPr>
                <w:rFonts w:hint="eastAsia" w:ascii="宋体" w:hAnsi="宋体" w:cs="宋体"/>
              </w:rPr>
              <w:t xml:space="preserve"> 运行内存 4G DDR3</w:t>
            </w:r>
            <w:r>
              <w:rPr>
                <w:rFonts w:hint="eastAsia" w:ascii="宋体" w:hAnsi="宋体" w:cs="宋体"/>
              </w:rPr>
              <w:br w:type="textWrapping"/>
            </w:r>
            <w:r>
              <w:rPr>
                <w:rFonts w:hint="eastAsia" w:ascii="宋体" w:hAnsi="宋体" w:cs="宋体"/>
              </w:rPr>
              <w:t xml:space="preserve"> 硬盘存储 128G SSD</w:t>
            </w:r>
            <w:r>
              <w:rPr>
                <w:rFonts w:hint="eastAsia" w:ascii="宋体" w:hAnsi="宋体" w:cs="宋体"/>
              </w:rPr>
              <w:br w:type="textWrapping"/>
            </w:r>
            <w:r>
              <w:rPr>
                <w:rFonts w:hint="eastAsia" w:ascii="宋体" w:hAnsi="宋体" w:cs="宋体"/>
              </w:rPr>
              <w:t xml:space="preserve"> 接口 HDMI、USB、电源、WIFI、LAN、VGA、AUDIO、WIFI、RECOVE、MIC、POWER、TV、AV、耳机、PC音频、外置触摸</w:t>
            </w:r>
            <w:r>
              <w:rPr>
                <w:rFonts w:hint="eastAsia" w:ascii="宋体" w:hAnsi="宋体" w:cs="宋体"/>
              </w:rPr>
              <w:br w:type="textWrapping"/>
            </w:r>
            <w:r>
              <w:rPr>
                <w:rFonts w:hint="eastAsia" w:ascii="宋体" w:hAnsi="宋体" w:cs="宋体"/>
              </w:rPr>
              <w:t>触摸 触摸规格 红外触摸框</w:t>
            </w:r>
            <w:r>
              <w:rPr>
                <w:rFonts w:hint="eastAsia" w:ascii="宋体" w:hAnsi="宋体" w:cs="宋体"/>
              </w:rPr>
              <w:br w:type="textWrapping"/>
            </w:r>
            <w:r>
              <w:rPr>
                <w:rFonts w:hint="eastAsia" w:ascii="宋体" w:hAnsi="宋体" w:cs="宋体"/>
              </w:rPr>
              <w:t xml:space="preserve"> 触摸点数 20点触控</w:t>
            </w:r>
            <w:r>
              <w:rPr>
                <w:rFonts w:hint="eastAsia" w:ascii="宋体" w:hAnsi="宋体" w:cs="宋体"/>
              </w:rPr>
              <w:br w:type="textWrapping"/>
            </w:r>
            <w:r>
              <w:rPr>
                <w:rFonts w:hint="eastAsia" w:ascii="宋体" w:hAnsi="宋体" w:cs="宋体"/>
              </w:rPr>
              <w:t xml:space="preserve"> 响应时间 ≤15ms</w:t>
            </w:r>
            <w:r>
              <w:rPr>
                <w:rFonts w:hint="eastAsia" w:ascii="宋体" w:hAnsi="宋体" w:cs="宋体"/>
              </w:rPr>
              <w:br w:type="textWrapping"/>
            </w:r>
            <w:r>
              <w:rPr>
                <w:rFonts w:hint="eastAsia" w:ascii="宋体" w:hAnsi="宋体" w:cs="宋体"/>
              </w:rPr>
              <w:t xml:space="preserve"> 点位精度 90%以上的触摸区域为±2mm</w:t>
            </w:r>
            <w:r>
              <w:rPr>
                <w:rFonts w:hint="eastAsia" w:ascii="宋体" w:hAnsi="宋体" w:cs="宋体"/>
              </w:rPr>
              <w:br w:type="textWrapping"/>
            </w:r>
            <w:r>
              <w:rPr>
                <w:rFonts w:hint="eastAsia" w:ascii="宋体" w:hAnsi="宋体" w:cs="宋体"/>
              </w:rPr>
              <w:t>整机参数 重量 净重：72kg-723kg 毛重：95kg-97kg</w:t>
            </w:r>
            <w:r>
              <w:rPr>
                <w:rFonts w:hint="eastAsia" w:ascii="宋体" w:hAnsi="宋体" w:cs="宋体"/>
              </w:rPr>
              <w:br w:type="textWrapping"/>
            </w:r>
            <w:r>
              <w:rPr>
                <w:rFonts w:hint="eastAsia" w:ascii="宋体" w:hAnsi="宋体" w:cs="宋体"/>
              </w:rPr>
              <w:t xml:space="preserve"> 裸机尺寸（长*宽*高） （1961-1965)×（1176-1180）×（100-105)mm</w:t>
            </w:r>
            <w:r>
              <w:rPr>
                <w:rFonts w:hint="eastAsia" w:ascii="宋体" w:hAnsi="宋体" w:cs="宋体"/>
              </w:rPr>
              <w:br w:type="textWrapping"/>
            </w:r>
            <w:r>
              <w:rPr>
                <w:rFonts w:hint="eastAsia" w:ascii="宋体" w:hAnsi="宋体" w:cs="宋体"/>
              </w:rPr>
              <w:t xml:space="preserve"> 外壳材料（面框/后壳） 铝合金/钣金</w:t>
            </w:r>
            <w:r>
              <w:rPr>
                <w:rFonts w:hint="eastAsia" w:ascii="宋体" w:hAnsi="宋体" w:cs="宋体"/>
              </w:rPr>
              <w:br w:type="textWrapping"/>
            </w:r>
            <w:r>
              <w:rPr>
                <w:rFonts w:hint="eastAsia" w:ascii="宋体" w:hAnsi="宋体" w:cs="宋体"/>
              </w:rPr>
              <w:t xml:space="preserve"> 外壳颜色（面框/后壳） 黑色</w:t>
            </w:r>
            <w:r>
              <w:rPr>
                <w:rFonts w:hint="eastAsia" w:ascii="宋体" w:hAnsi="宋体" w:cs="宋体"/>
              </w:rPr>
              <w:br w:type="textWrapping"/>
            </w:r>
            <w:r>
              <w:rPr>
                <w:rFonts w:hint="eastAsia" w:ascii="宋体" w:hAnsi="宋体" w:cs="宋体"/>
              </w:rPr>
              <w:t xml:space="preserve"> 开关电源 AC100-240V~(+/-10%),50/60Hz</w:t>
            </w:r>
            <w:r>
              <w:rPr>
                <w:rFonts w:hint="eastAsia" w:ascii="宋体" w:hAnsi="宋体" w:cs="宋体"/>
              </w:rPr>
              <w:br w:type="textWrapping"/>
            </w:r>
            <w:r>
              <w:rPr>
                <w:rFonts w:hint="eastAsia" w:ascii="宋体" w:hAnsi="宋体" w:cs="宋体"/>
              </w:rPr>
              <w:t xml:space="preserve"> 电源接口 中规 220V 两相三线制</w:t>
            </w:r>
            <w:r>
              <w:rPr>
                <w:rFonts w:hint="eastAsia" w:ascii="宋体" w:hAnsi="宋体" w:cs="宋体"/>
              </w:rPr>
              <w:br w:type="textWrapping"/>
            </w:r>
            <w:r>
              <w:rPr>
                <w:rFonts w:hint="eastAsia" w:ascii="宋体" w:hAnsi="宋体" w:cs="宋体"/>
              </w:rPr>
              <w:t xml:space="preserve"> 整机功耗 385W</w:t>
            </w:r>
            <w:r>
              <w:rPr>
                <w:rFonts w:hint="eastAsia" w:ascii="宋体" w:hAnsi="宋体" w:cs="宋体"/>
              </w:rPr>
              <w:br w:type="textWrapping"/>
            </w:r>
            <w:r>
              <w:rPr>
                <w:rFonts w:hint="eastAsia" w:ascii="宋体" w:hAnsi="宋体" w:cs="宋体"/>
              </w:rPr>
              <w:t xml:space="preserve"> 工作温度 0°C ～ 50°C</w:t>
            </w:r>
            <w:r>
              <w:rPr>
                <w:rFonts w:hint="eastAsia" w:ascii="宋体" w:hAnsi="宋体" w:cs="宋体"/>
              </w:rPr>
              <w:br w:type="textWrapping"/>
            </w:r>
            <w:r>
              <w:rPr>
                <w:rFonts w:hint="eastAsia" w:ascii="宋体" w:hAnsi="宋体" w:cs="宋体"/>
              </w:rPr>
              <w:t xml:space="preserve"> 存储温度 -20°C ～ 60°C</w:t>
            </w:r>
          </w:p>
        </w:tc>
        <w:tc>
          <w:tcPr>
            <w:tcW w:w="357" w:type="pct"/>
            <w:vAlign w:val="center"/>
          </w:tcPr>
          <w:p w14:paraId="2503644A">
            <w:pPr>
              <w:jc w:val="center"/>
              <w:rPr>
                <w:rFonts w:hint="eastAsia" w:ascii="宋体" w:hAnsi="宋体" w:cs="宋体"/>
                <w:szCs w:val="21"/>
              </w:rPr>
            </w:pPr>
            <w:r>
              <w:rPr>
                <w:rFonts w:hint="eastAsia" w:ascii="宋体" w:hAnsi="宋体" w:cs="宋体"/>
                <w:szCs w:val="21"/>
              </w:rPr>
              <w:t>1</w:t>
            </w:r>
          </w:p>
        </w:tc>
        <w:tc>
          <w:tcPr>
            <w:tcW w:w="341" w:type="pct"/>
            <w:vAlign w:val="center"/>
          </w:tcPr>
          <w:p w14:paraId="0E2B2D93">
            <w:pPr>
              <w:jc w:val="center"/>
              <w:rPr>
                <w:rFonts w:hint="eastAsia" w:ascii="宋体" w:hAnsi="宋体" w:cs="宋体"/>
                <w:szCs w:val="21"/>
              </w:rPr>
            </w:pPr>
            <w:r>
              <w:rPr>
                <w:rFonts w:hint="eastAsia" w:ascii="宋体" w:hAnsi="宋体" w:cs="宋体"/>
                <w:szCs w:val="21"/>
              </w:rPr>
              <w:t>套</w:t>
            </w:r>
          </w:p>
        </w:tc>
      </w:tr>
      <w:tr w14:paraId="4146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2F9346EA">
            <w:pPr>
              <w:jc w:val="center"/>
              <w:rPr>
                <w:rFonts w:hint="eastAsia" w:ascii="宋体" w:hAnsi="宋体" w:cs="宋体"/>
                <w:b/>
                <w:bCs/>
                <w:szCs w:val="21"/>
              </w:rPr>
            </w:pPr>
            <w:r>
              <w:rPr>
                <w:rFonts w:hint="eastAsia" w:ascii="宋体" w:hAnsi="宋体" w:cs="宋体"/>
                <w:szCs w:val="21"/>
              </w:rPr>
              <w:t>35</w:t>
            </w:r>
          </w:p>
        </w:tc>
        <w:tc>
          <w:tcPr>
            <w:tcW w:w="536" w:type="pct"/>
            <w:vAlign w:val="center"/>
          </w:tcPr>
          <w:p w14:paraId="40144C8F">
            <w:pPr>
              <w:pStyle w:val="80"/>
              <w:jc w:val="center"/>
              <w:rPr>
                <w:rFonts w:hint="eastAsia" w:ascii="宋体" w:hAnsi="宋体" w:cs="宋体"/>
              </w:rPr>
            </w:pPr>
            <w:r>
              <w:rPr>
                <w:rFonts w:hint="eastAsia" w:ascii="宋体" w:hAnsi="宋体" w:cs="宋体"/>
              </w:rPr>
              <w:t>多功能工作台</w:t>
            </w:r>
          </w:p>
        </w:tc>
        <w:tc>
          <w:tcPr>
            <w:tcW w:w="3571" w:type="pct"/>
            <w:vAlign w:val="center"/>
          </w:tcPr>
          <w:p w14:paraId="65C9E3B6">
            <w:pPr>
              <w:pStyle w:val="80"/>
              <w:ind w:left="105" w:leftChars="50"/>
              <w:jc w:val="left"/>
              <w:rPr>
                <w:rFonts w:hint="eastAsia" w:ascii="宋体" w:hAnsi="宋体" w:cs="宋体"/>
              </w:rPr>
            </w:pPr>
            <w:r>
              <w:rPr>
                <w:rFonts w:hint="eastAsia" w:ascii="宋体" w:hAnsi="宋体" w:cs="宋体"/>
              </w:rPr>
              <w:t>产品属性：新能源汽车专用多功能工作台</w:t>
            </w:r>
            <w:r>
              <w:rPr>
                <w:rFonts w:hint="eastAsia" w:ascii="宋体" w:hAnsi="宋体" w:cs="宋体"/>
              </w:rPr>
              <w:br w:type="textWrapping"/>
            </w:r>
            <w:r>
              <w:rPr>
                <w:rFonts w:hint="eastAsia" w:ascii="宋体" w:hAnsi="宋体" w:cs="宋体"/>
              </w:rPr>
              <w:t>颜色:钢架纯黑色，实木色桌面，抽屉与置物板均为黑色</w:t>
            </w:r>
            <w:r>
              <w:rPr>
                <w:rFonts w:hint="eastAsia" w:ascii="宋体" w:hAnsi="宋体" w:cs="宋体"/>
              </w:rPr>
              <w:br w:type="textWrapping"/>
            </w:r>
            <w:r>
              <w:rPr>
                <w:rFonts w:hint="eastAsia" w:ascii="宋体" w:hAnsi="宋体" w:cs="宋体"/>
              </w:rPr>
              <w:t>钢架工艺：钢架一体式，钢板为一级冷轧钢板，厚度为2.5MM，经剪板冲压折弯焊接成型，去毛刺除焊渣表面脱脂磷化，表面环氧树脂粉末静电喷涂防腐处理，具有结构稳定，承重力强，表面防锈防潮，光滑抗氧化等特点</w:t>
            </w:r>
            <w:r>
              <w:rPr>
                <w:rFonts w:hint="eastAsia" w:ascii="宋体" w:hAnsi="宋体" w:cs="宋体"/>
              </w:rPr>
              <w:br w:type="textWrapping"/>
            </w:r>
            <w:r>
              <w:rPr>
                <w:rFonts w:hint="eastAsia" w:ascii="宋体" w:hAnsi="宋体" w:cs="宋体"/>
              </w:rPr>
              <w:t>桌面材质：台面厚度4公分，表层铺2毫米厚度黑色胶皮，绝缘耐油耐酸碱的耐磨材料，实木材质桌面，抗压抗冲击</w:t>
            </w:r>
            <w:r>
              <w:rPr>
                <w:rFonts w:hint="eastAsia" w:ascii="宋体" w:hAnsi="宋体" w:cs="宋体"/>
              </w:rPr>
              <w:br w:type="textWrapping"/>
            </w:r>
            <w:r>
              <w:rPr>
                <w:rFonts w:hint="eastAsia" w:ascii="宋体" w:hAnsi="宋体" w:cs="宋体"/>
              </w:rPr>
              <w:t>抽屉、单开门储物格：设计了双锁式独立开关式抽屉，抽屉内部放置高密度发泡板并雕刻有置物格，便于工具和检测仪器的定置定位，单开门式储物格方便放置相关实训耗材。</w:t>
            </w:r>
            <w:r>
              <w:rPr>
                <w:rFonts w:hint="eastAsia" w:ascii="宋体" w:hAnsi="宋体" w:cs="宋体"/>
              </w:rPr>
              <w:br w:type="textWrapping"/>
            </w:r>
            <w:r>
              <w:rPr>
                <w:rFonts w:hint="eastAsia" w:ascii="宋体" w:hAnsi="宋体" w:cs="宋体"/>
              </w:rPr>
              <w:t>外形尺寸：（1400mm-1410mm）×（700mm-710mm）×（850mm-860mm）</w:t>
            </w:r>
            <w:r>
              <w:rPr>
                <w:rFonts w:hint="eastAsia" w:ascii="宋体" w:hAnsi="宋体" w:cs="宋体"/>
              </w:rPr>
              <w:br w:type="textWrapping"/>
            </w:r>
            <w:r>
              <w:rPr>
                <w:rFonts w:hint="eastAsia" w:ascii="宋体" w:hAnsi="宋体" w:cs="宋体"/>
              </w:rPr>
              <w:t>适用范围：适用于职业院校汽车维修专业和机械加工专业实训室建设以及相关专业的检测、维修、组装等</w:t>
            </w:r>
          </w:p>
        </w:tc>
        <w:tc>
          <w:tcPr>
            <w:tcW w:w="357" w:type="pct"/>
            <w:vAlign w:val="center"/>
          </w:tcPr>
          <w:p w14:paraId="0D31AE30">
            <w:pPr>
              <w:jc w:val="center"/>
              <w:rPr>
                <w:rFonts w:hint="eastAsia" w:ascii="宋体" w:hAnsi="宋体" w:cs="宋体"/>
                <w:szCs w:val="21"/>
              </w:rPr>
            </w:pPr>
            <w:r>
              <w:rPr>
                <w:rFonts w:hint="eastAsia" w:ascii="宋体" w:hAnsi="宋体" w:cs="宋体"/>
                <w:szCs w:val="21"/>
              </w:rPr>
              <w:t>4</w:t>
            </w:r>
          </w:p>
        </w:tc>
        <w:tc>
          <w:tcPr>
            <w:tcW w:w="341" w:type="pct"/>
            <w:vAlign w:val="center"/>
          </w:tcPr>
          <w:p w14:paraId="45F41E96">
            <w:pPr>
              <w:jc w:val="center"/>
              <w:rPr>
                <w:rFonts w:hint="eastAsia" w:ascii="宋体" w:hAnsi="宋体" w:cs="宋体"/>
                <w:szCs w:val="21"/>
              </w:rPr>
            </w:pPr>
            <w:r>
              <w:rPr>
                <w:rFonts w:hint="eastAsia" w:ascii="宋体" w:hAnsi="宋体" w:cs="宋体"/>
                <w:szCs w:val="21"/>
              </w:rPr>
              <w:t>套</w:t>
            </w:r>
          </w:p>
        </w:tc>
      </w:tr>
      <w:tr w14:paraId="3847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3C6CB53E">
            <w:pPr>
              <w:jc w:val="center"/>
              <w:rPr>
                <w:rFonts w:hint="eastAsia" w:ascii="宋体" w:hAnsi="宋体" w:cs="宋体"/>
                <w:b/>
                <w:bCs/>
                <w:szCs w:val="21"/>
              </w:rPr>
            </w:pPr>
            <w:r>
              <w:rPr>
                <w:rFonts w:hint="eastAsia" w:ascii="宋体" w:hAnsi="宋体" w:cs="宋体"/>
                <w:szCs w:val="21"/>
              </w:rPr>
              <w:t>36</w:t>
            </w:r>
          </w:p>
        </w:tc>
        <w:tc>
          <w:tcPr>
            <w:tcW w:w="536" w:type="pct"/>
            <w:vAlign w:val="center"/>
          </w:tcPr>
          <w:p w14:paraId="3171EC1B">
            <w:pPr>
              <w:pStyle w:val="80"/>
              <w:jc w:val="center"/>
              <w:rPr>
                <w:rFonts w:hint="eastAsia" w:ascii="宋体" w:hAnsi="宋体" w:cs="宋体"/>
              </w:rPr>
            </w:pPr>
            <w:r>
              <w:rPr>
                <w:rFonts w:hint="eastAsia" w:ascii="宋体" w:hAnsi="宋体" w:cs="宋体"/>
              </w:rPr>
              <w:t>人员防护套装</w:t>
            </w:r>
          </w:p>
        </w:tc>
        <w:tc>
          <w:tcPr>
            <w:tcW w:w="3571" w:type="pct"/>
            <w:vAlign w:val="center"/>
          </w:tcPr>
          <w:p w14:paraId="7A7BA6D0">
            <w:pPr>
              <w:pStyle w:val="80"/>
              <w:ind w:left="105" w:leftChars="50"/>
              <w:jc w:val="left"/>
              <w:rPr>
                <w:rFonts w:hint="eastAsia" w:ascii="宋体" w:hAnsi="宋体" w:cs="宋体"/>
              </w:rPr>
            </w:pPr>
            <w:r>
              <w:rPr>
                <w:rFonts w:hint="eastAsia" w:ascii="宋体" w:hAnsi="宋体" w:cs="宋体"/>
              </w:rPr>
              <w:t>1.绝缘1双手套：全绝缘或掌心涂绝缘层绝缘电压≥1kV；</w:t>
            </w:r>
            <w:r>
              <w:rPr>
                <w:rFonts w:hint="eastAsia" w:ascii="宋体" w:hAnsi="宋体" w:cs="宋体"/>
              </w:rPr>
              <w:br w:type="textWrapping"/>
            </w:r>
            <w:r>
              <w:rPr>
                <w:rFonts w:hint="eastAsia" w:ascii="宋体" w:hAnsi="宋体" w:cs="宋体"/>
              </w:rPr>
              <w:t>2.防酸碱1双手套：耐腐蚀，可瞬间点触稀硫酸不氧化；</w:t>
            </w:r>
            <w:r>
              <w:rPr>
                <w:rFonts w:hint="eastAsia" w:ascii="宋体" w:hAnsi="宋体" w:cs="宋体"/>
              </w:rPr>
              <w:br w:type="textWrapping"/>
            </w:r>
            <w:r>
              <w:rPr>
                <w:rFonts w:hint="eastAsia" w:ascii="宋体" w:hAnsi="宋体" w:cs="宋体"/>
              </w:rPr>
              <w:t>3.绝缘电工1双鞋：≥5kV；</w:t>
            </w:r>
            <w:r>
              <w:rPr>
                <w:rFonts w:hint="eastAsia" w:ascii="宋体" w:hAnsi="宋体" w:cs="宋体"/>
              </w:rPr>
              <w:br w:type="textWrapping"/>
            </w:r>
            <w:r>
              <w:rPr>
                <w:rFonts w:hint="eastAsia" w:ascii="宋体" w:hAnsi="宋体" w:cs="宋体"/>
              </w:rPr>
              <w:t>4.绝缘工作服1套：分体，耐压5kV；</w:t>
            </w:r>
            <w:r>
              <w:rPr>
                <w:rFonts w:hint="eastAsia" w:ascii="宋体" w:hAnsi="宋体" w:cs="宋体"/>
              </w:rPr>
              <w:br w:type="textWrapping"/>
            </w:r>
            <w:r>
              <w:rPr>
                <w:rFonts w:hint="eastAsia" w:ascii="宋体" w:hAnsi="宋体" w:cs="宋体"/>
              </w:rPr>
              <w:t>5.防护眼镜1副：可阻挡紫外线光；</w:t>
            </w:r>
            <w:r>
              <w:rPr>
                <w:rFonts w:hint="eastAsia" w:ascii="宋体" w:hAnsi="宋体" w:cs="宋体"/>
              </w:rPr>
              <w:br w:type="textWrapping"/>
            </w:r>
            <w:r>
              <w:rPr>
                <w:rFonts w:hint="eastAsia" w:ascii="宋体" w:hAnsi="宋体" w:cs="宋体"/>
              </w:rPr>
              <w:t>6.安全帽1个：绝缘电压≥7kV。</w:t>
            </w:r>
          </w:p>
        </w:tc>
        <w:tc>
          <w:tcPr>
            <w:tcW w:w="357" w:type="pct"/>
            <w:vAlign w:val="center"/>
          </w:tcPr>
          <w:p w14:paraId="74BB860D">
            <w:pPr>
              <w:jc w:val="center"/>
              <w:rPr>
                <w:rFonts w:hint="eastAsia" w:ascii="宋体" w:hAnsi="宋体" w:cs="宋体"/>
                <w:szCs w:val="21"/>
              </w:rPr>
            </w:pPr>
            <w:r>
              <w:rPr>
                <w:rFonts w:hint="eastAsia" w:ascii="宋体" w:hAnsi="宋体" w:cs="宋体"/>
                <w:szCs w:val="21"/>
              </w:rPr>
              <w:t>4</w:t>
            </w:r>
          </w:p>
        </w:tc>
        <w:tc>
          <w:tcPr>
            <w:tcW w:w="341" w:type="pct"/>
            <w:vAlign w:val="center"/>
          </w:tcPr>
          <w:p w14:paraId="591290BD">
            <w:pPr>
              <w:jc w:val="center"/>
              <w:rPr>
                <w:rFonts w:hint="eastAsia" w:ascii="宋体" w:hAnsi="宋体" w:cs="宋体"/>
                <w:szCs w:val="21"/>
              </w:rPr>
            </w:pPr>
            <w:r>
              <w:rPr>
                <w:rFonts w:hint="eastAsia" w:ascii="宋体" w:hAnsi="宋体" w:cs="宋体"/>
                <w:szCs w:val="21"/>
              </w:rPr>
              <w:t>套</w:t>
            </w:r>
          </w:p>
        </w:tc>
      </w:tr>
      <w:tr w14:paraId="31B5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2CB06772">
            <w:pPr>
              <w:jc w:val="center"/>
              <w:rPr>
                <w:rFonts w:hint="eastAsia" w:ascii="宋体" w:hAnsi="宋体" w:cs="宋体"/>
                <w:b/>
                <w:bCs/>
                <w:szCs w:val="21"/>
              </w:rPr>
            </w:pPr>
            <w:r>
              <w:rPr>
                <w:rFonts w:hint="eastAsia" w:ascii="宋体" w:hAnsi="宋体" w:cs="宋体"/>
                <w:szCs w:val="21"/>
              </w:rPr>
              <w:t>37</w:t>
            </w:r>
          </w:p>
        </w:tc>
        <w:tc>
          <w:tcPr>
            <w:tcW w:w="536" w:type="pct"/>
            <w:vAlign w:val="center"/>
          </w:tcPr>
          <w:p w14:paraId="067D4653">
            <w:pPr>
              <w:pStyle w:val="80"/>
              <w:jc w:val="center"/>
              <w:rPr>
                <w:rFonts w:hint="eastAsia" w:ascii="宋体" w:hAnsi="宋体" w:cs="宋体"/>
              </w:rPr>
            </w:pPr>
            <w:r>
              <w:rPr>
                <w:rFonts w:hint="eastAsia" w:ascii="宋体" w:hAnsi="宋体" w:cs="宋体"/>
              </w:rPr>
              <w:t>工位防护套装</w:t>
            </w:r>
          </w:p>
        </w:tc>
        <w:tc>
          <w:tcPr>
            <w:tcW w:w="3571" w:type="pct"/>
            <w:vAlign w:val="center"/>
          </w:tcPr>
          <w:p w14:paraId="0EFFA3B0">
            <w:pPr>
              <w:pStyle w:val="80"/>
              <w:ind w:left="105" w:leftChars="50"/>
              <w:jc w:val="left"/>
              <w:rPr>
                <w:rFonts w:hint="eastAsia" w:ascii="宋体" w:hAnsi="宋体" w:cs="宋体"/>
              </w:rPr>
            </w:pPr>
            <w:r>
              <w:rPr>
                <w:rFonts w:hint="eastAsia" w:ascii="宋体" w:hAnsi="宋体" w:cs="宋体"/>
              </w:rPr>
              <w:t>绝缘防护垫  1张</w:t>
            </w:r>
            <w:r>
              <w:rPr>
                <w:rFonts w:hint="eastAsia" w:ascii="宋体" w:hAnsi="宋体" w:cs="宋体"/>
              </w:rPr>
              <w:br w:type="textWrapping"/>
            </w:r>
            <w:r>
              <w:rPr>
                <w:rFonts w:hint="eastAsia" w:ascii="宋体" w:hAnsi="宋体" w:cs="宋体"/>
              </w:rPr>
              <w:t>基本要求：</w:t>
            </w:r>
            <w:r>
              <w:rPr>
                <w:rFonts w:hint="eastAsia" w:ascii="宋体" w:hAnsi="宋体" w:cs="宋体"/>
              </w:rPr>
              <w:br w:type="textWrapping"/>
            </w:r>
            <w:r>
              <w:rPr>
                <w:rFonts w:hint="eastAsia" w:ascii="宋体" w:hAnsi="宋体" w:cs="宋体"/>
              </w:rPr>
              <w:t>1. 该产品用于铺设新能源汽车维修工位地面，以营造绝缘工作环境，能有效防止触电事故；</w:t>
            </w:r>
            <w:r>
              <w:rPr>
                <w:rFonts w:hint="eastAsia" w:ascii="宋体" w:hAnsi="宋体" w:cs="宋体"/>
              </w:rPr>
              <w:br w:type="textWrapping"/>
            </w:r>
            <w:r>
              <w:rPr>
                <w:rFonts w:hint="eastAsia" w:ascii="宋体" w:hAnsi="宋体" w:cs="宋体"/>
              </w:rPr>
              <w:t>2. 材  质：天然橡胶</w:t>
            </w:r>
            <w:r>
              <w:rPr>
                <w:rFonts w:hint="eastAsia" w:ascii="宋体" w:hAnsi="宋体" w:cs="宋体"/>
              </w:rPr>
              <w:br w:type="textWrapping"/>
            </w:r>
            <w:r>
              <w:rPr>
                <w:rFonts w:hint="eastAsia" w:ascii="宋体" w:hAnsi="宋体" w:cs="宋体"/>
              </w:rPr>
              <w:t>3. 规  格：宽1000mm，厚5mm</w:t>
            </w:r>
            <w:r>
              <w:rPr>
                <w:rFonts w:hint="eastAsia" w:ascii="宋体" w:hAnsi="宋体" w:cs="宋体"/>
              </w:rPr>
              <w:br w:type="textWrapping"/>
            </w:r>
            <w:r>
              <w:rPr>
                <w:rFonts w:hint="eastAsia" w:ascii="宋体" w:hAnsi="宋体" w:cs="宋体"/>
              </w:rPr>
              <w:t>4. 绝缘耐压：10KV</w:t>
            </w:r>
            <w:r>
              <w:rPr>
                <w:rFonts w:hint="eastAsia" w:ascii="宋体" w:hAnsi="宋体" w:cs="宋体"/>
              </w:rPr>
              <w:br w:type="textWrapping"/>
            </w:r>
            <w:r>
              <w:rPr>
                <w:rFonts w:hint="eastAsia" w:ascii="宋体" w:hAnsi="宋体" w:cs="宋体"/>
              </w:rPr>
              <w:t>5. 颜  色：绿色，表面有防滑条纹设计</w:t>
            </w:r>
            <w:r>
              <w:rPr>
                <w:rFonts w:hint="eastAsia" w:ascii="宋体" w:hAnsi="宋体" w:cs="宋体"/>
              </w:rPr>
              <w:br w:type="textWrapping"/>
            </w:r>
            <w:r>
              <w:rPr>
                <w:rFonts w:hint="eastAsia" w:ascii="宋体" w:hAnsi="宋体" w:cs="宋体"/>
              </w:rPr>
              <w:t>6. 执行标准：HG 2949-1999</w:t>
            </w:r>
            <w:r>
              <w:rPr>
                <w:rFonts w:hint="eastAsia" w:ascii="宋体" w:hAnsi="宋体" w:cs="宋体"/>
              </w:rPr>
              <w:br w:type="textWrapping"/>
            </w:r>
            <w:r>
              <w:rPr>
                <w:rFonts w:hint="eastAsia" w:ascii="宋体" w:hAnsi="宋体" w:cs="宋体"/>
              </w:rPr>
              <w:t>绝缘防护栏  6个</w:t>
            </w:r>
            <w:r>
              <w:rPr>
                <w:rFonts w:hint="eastAsia" w:ascii="宋体" w:hAnsi="宋体" w:cs="宋体"/>
              </w:rPr>
              <w:br w:type="textWrapping"/>
            </w:r>
            <w:r>
              <w:rPr>
                <w:rFonts w:hint="eastAsia" w:ascii="宋体" w:hAnsi="宋体" w:cs="宋体"/>
              </w:rPr>
              <w:t>基本要求：</w:t>
            </w:r>
            <w:r>
              <w:rPr>
                <w:rFonts w:hint="eastAsia" w:ascii="宋体" w:hAnsi="宋体" w:cs="宋体"/>
              </w:rPr>
              <w:br w:type="textWrapping"/>
            </w:r>
            <w:r>
              <w:rPr>
                <w:rFonts w:hint="eastAsia" w:ascii="宋体" w:hAnsi="宋体" w:cs="宋体"/>
              </w:rPr>
              <w:t>1. 采用高强度绝缘材料制作；红白相间有警示作用；</w:t>
            </w:r>
            <w:r>
              <w:rPr>
                <w:rFonts w:hint="eastAsia" w:ascii="宋体" w:hAnsi="宋体" w:cs="宋体"/>
              </w:rPr>
              <w:br w:type="textWrapping"/>
            </w:r>
            <w:r>
              <w:rPr>
                <w:rFonts w:hint="eastAsia" w:ascii="宋体" w:hAnsi="宋体" w:cs="宋体"/>
              </w:rPr>
              <w:t>2. 双层防护警示带，带明显警示标志及字样，可自由伸缩5M；</w:t>
            </w:r>
            <w:r>
              <w:rPr>
                <w:rFonts w:hint="eastAsia" w:ascii="宋体" w:hAnsi="宋体" w:cs="宋体"/>
              </w:rPr>
              <w:br w:type="textWrapping"/>
            </w:r>
            <w:r>
              <w:rPr>
                <w:rFonts w:hint="eastAsia" w:ascii="宋体" w:hAnsi="宋体" w:cs="宋体"/>
              </w:rPr>
              <w:t>3. 底座规格：350mm，采用特殊设计，稳固厚重，可有效防止倾倒；</w:t>
            </w:r>
            <w:r>
              <w:rPr>
                <w:rFonts w:hint="eastAsia" w:ascii="宋体" w:hAnsi="宋体" w:cs="宋体"/>
              </w:rPr>
              <w:br w:type="textWrapping"/>
            </w:r>
            <w:r>
              <w:rPr>
                <w:rFonts w:hint="eastAsia" w:ascii="宋体" w:hAnsi="宋体" w:cs="宋体"/>
              </w:rPr>
              <w:t>4. 玻璃钢管直径：7.6mm</w:t>
            </w:r>
            <w:r>
              <w:rPr>
                <w:rFonts w:hint="eastAsia" w:ascii="宋体" w:hAnsi="宋体" w:cs="宋体"/>
              </w:rPr>
              <w:br w:type="textWrapping"/>
            </w:r>
            <w:r>
              <w:rPr>
                <w:rFonts w:hint="eastAsia" w:ascii="宋体" w:hAnsi="宋体" w:cs="宋体"/>
              </w:rPr>
              <w:t>5. 高  度：1000mm</w:t>
            </w:r>
            <w:r>
              <w:rPr>
                <w:rFonts w:hint="eastAsia" w:ascii="宋体" w:hAnsi="宋体" w:cs="宋体"/>
              </w:rPr>
              <w:br w:type="textWrapping"/>
            </w:r>
            <w:r>
              <w:rPr>
                <w:rFonts w:hint="eastAsia" w:ascii="宋体" w:hAnsi="宋体" w:cs="宋体"/>
              </w:rPr>
              <w:t>安全警告标注  1个</w:t>
            </w:r>
            <w:r>
              <w:rPr>
                <w:rFonts w:hint="eastAsia" w:ascii="宋体" w:hAnsi="宋体" w:cs="宋体"/>
              </w:rPr>
              <w:br w:type="textWrapping"/>
            </w:r>
            <w:r>
              <w:rPr>
                <w:rFonts w:hint="eastAsia" w:ascii="宋体" w:hAnsi="宋体" w:cs="宋体"/>
              </w:rPr>
              <w:t>基本要求：</w:t>
            </w:r>
            <w:r>
              <w:rPr>
                <w:rFonts w:hint="eastAsia" w:ascii="宋体" w:hAnsi="宋体" w:cs="宋体"/>
              </w:rPr>
              <w:br w:type="textWrapping"/>
            </w:r>
            <w:r>
              <w:rPr>
                <w:rFonts w:hint="eastAsia" w:ascii="宋体" w:hAnsi="宋体" w:cs="宋体"/>
              </w:rPr>
              <w:t>1. 主要设置在车顶/墙壁/入口等；</w:t>
            </w:r>
            <w:r>
              <w:rPr>
                <w:rFonts w:hint="eastAsia" w:ascii="宋体" w:hAnsi="宋体" w:cs="宋体"/>
              </w:rPr>
              <w:br w:type="textWrapping"/>
            </w:r>
            <w:r>
              <w:rPr>
                <w:rFonts w:hint="eastAsia" w:ascii="宋体" w:hAnsi="宋体" w:cs="宋体"/>
              </w:rPr>
              <w:t>2. 全方位高压危险警告标识系统。</w:t>
            </w:r>
          </w:p>
        </w:tc>
        <w:tc>
          <w:tcPr>
            <w:tcW w:w="357" w:type="pct"/>
            <w:vAlign w:val="center"/>
          </w:tcPr>
          <w:p w14:paraId="00375FFF">
            <w:pPr>
              <w:jc w:val="center"/>
              <w:rPr>
                <w:rFonts w:hint="eastAsia" w:ascii="宋体" w:hAnsi="宋体" w:cs="宋体"/>
                <w:szCs w:val="21"/>
              </w:rPr>
            </w:pPr>
            <w:r>
              <w:rPr>
                <w:rFonts w:hint="eastAsia" w:ascii="宋体" w:hAnsi="宋体" w:cs="宋体"/>
                <w:szCs w:val="21"/>
              </w:rPr>
              <w:t>4</w:t>
            </w:r>
          </w:p>
        </w:tc>
        <w:tc>
          <w:tcPr>
            <w:tcW w:w="341" w:type="pct"/>
            <w:vAlign w:val="center"/>
          </w:tcPr>
          <w:p w14:paraId="676A70EF">
            <w:pPr>
              <w:jc w:val="center"/>
              <w:rPr>
                <w:rFonts w:hint="eastAsia" w:ascii="宋体" w:hAnsi="宋体" w:cs="宋体"/>
                <w:szCs w:val="21"/>
              </w:rPr>
            </w:pPr>
          </w:p>
          <w:p w14:paraId="797B5C9C">
            <w:pPr>
              <w:jc w:val="center"/>
              <w:rPr>
                <w:rFonts w:hint="eastAsia" w:ascii="宋体" w:hAnsi="宋体" w:cs="宋体"/>
                <w:szCs w:val="21"/>
              </w:rPr>
            </w:pPr>
          </w:p>
          <w:p w14:paraId="0C9CC875">
            <w:pPr>
              <w:jc w:val="center"/>
              <w:rPr>
                <w:rFonts w:hint="eastAsia" w:ascii="宋体" w:hAnsi="宋体" w:cs="宋体"/>
                <w:szCs w:val="21"/>
              </w:rPr>
            </w:pPr>
          </w:p>
          <w:p w14:paraId="75C2E6AD">
            <w:pPr>
              <w:jc w:val="center"/>
              <w:rPr>
                <w:rFonts w:hint="eastAsia" w:ascii="宋体" w:hAnsi="宋体" w:cs="宋体"/>
                <w:szCs w:val="21"/>
              </w:rPr>
            </w:pPr>
            <w:r>
              <w:rPr>
                <w:rFonts w:hint="eastAsia" w:ascii="宋体" w:hAnsi="宋体" w:cs="宋体"/>
                <w:szCs w:val="21"/>
              </w:rPr>
              <w:t>套</w:t>
            </w:r>
          </w:p>
          <w:p w14:paraId="51186133">
            <w:pPr>
              <w:jc w:val="center"/>
              <w:rPr>
                <w:rFonts w:hint="eastAsia" w:ascii="宋体" w:hAnsi="宋体" w:cs="宋体"/>
                <w:szCs w:val="21"/>
              </w:rPr>
            </w:pPr>
          </w:p>
          <w:p w14:paraId="2F55C02A">
            <w:pPr>
              <w:jc w:val="center"/>
              <w:rPr>
                <w:rFonts w:hint="eastAsia" w:ascii="宋体" w:hAnsi="宋体" w:cs="宋体"/>
                <w:szCs w:val="21"/>
              </w:rPr>
            </w:pPr>
          </w:p>
          <w:p w14:paraId="07B9CE8C">
            <w:pPr>
              <w:jc w:val="center"/>
              <w:rPr>
                <w:rFonts w:hint="eastAsia" w:ascii="宋体" w:hAnsi="宋体" w:cs="宋体"/>
                <w:szCs w:val="21"/>
              </w:rPr>
            </w:pPr>
          </w:p>
          <w:p w14:paraId="7E3588AD">
            <w:pPr>
              <w:jc w:val="center"/>
              <w:rPr>
                <w:rFonts w:hint="eastAsia" w:ascii="宋体" w:hAnsi="宋体" w:cs="宋体"/>
                <w:szCs w:val="21"/>
              </w:rPr>
            </w:pPr>
          </w:p>
          <w:p w14:paraId="66C96169">
            <w:pPr>
              <w:jc w:val="center"/>
              <w:rPr>
                <w:rFonts w:hint="eastAsia" w:ascii="宋体" w:hAnsi="宋体" w:cs="宋体"/>
                <w:szCs w:val="21"/>
              </w:rPr>
            </w:pPr>
          </w:p>
          <w:p w14:paraId="56AAF00E">
            <w:pPr>
              <w:jc w:val="center"/>
              <w:rPr>
                <w:rFonts w:hint="eastAsia" w:ascii="宋体" w:hAnsi="宋体" w:cs="宋体"/>
                <w:szCs w:val="21"/>
              </w:rPr>
            </w:pPr>
          </w:p>
          <w:p w14:paraId="76C82D0A">
            <w:pPr>
              <w:jc w:val="center"/>
              <w:rPr>
                <w:rFonts w:hint="eastAsia" w:ascii="宋体" w:hAnsi="宋体" w:cs="宋体"/>
                <w:szCs w:val="21"/>
              </w:rPr>
            </w:pPr>
          </w:p>
          <w:p w14:paraId="7874BE4F">
            <w:pPr>
              <w:jc w:val="center"/>
              <w:rPr>
                <w:rFonts w:hint="eastAsia" w:ascii="宋体" w:hAnsi="宋体" w:cs="宋体"/>
                <w:szCs w:val="21"/>
              </w:rPr>
            </w:pPr>
          </w:p>
        </w:tc>
      </w:tr>
      <w:tr w14:paraId="733D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25F73D8D">
            <w:pPr>
              <w:jc w:val="center"/>
              <w:rPr>
                <w:rFonts w:hint="eastAsia" w:ascii="宋体" w:hAnsi="宋体" w:cs="宋体"/>
                <w:b/>
                <w:bCs/>
                <w:szCs w:val="21"/>
              </w:rPr>
            </w:pPr>
            <w:r>
              <w:rPr>
                <w:rFonts w:hint="eastAsia" w:ascii="宋体" w:hAnsi="宋体" w:cs="宋体"/>
                <w:szCs w:val="21"/>
              </w:rPr>
              <w:t>38</w:t>
            </w:r>
          </w:p>
        </w:tc>
        <w:tc>
          <w:tcPr>
            <w:tcW w:w="536" w:type="pct"/>
            <w:vAlign w:val="center"/>
          </w:tcPr>
          <w:p w14:paraId="190109C4">
            <w:pPr>
              <w:pStyle w:val="80"/>
              <w:jc w:val="center"/>
              <w:rPr>
                <w:rFonts w:hint="eastAsia" w:ascii="宋体" w:hAnsi="宋体" w:cs="宋体"/>
              </w:rPr>
            </w:pPr>
            <w:r>
              <w:rPr>
                <w:rFonts w:hint="eastAsia" w:ascii="宋体" w:hAnsi="宋体" w:cs="宋体"/>
              </w:rPr>
              <w:t>诊断仪（解码器）</w:t>
            </w:r>
          </w:p>
        </w:tc>
        <w:tc>
          <w:tcPr>
            <w:tcW w:w="3571" w:type="pct"/>
            <w:vAlign w:val="center"/>
          </w:tcPr>
          <w:p w14:paraId="57E058E0">
            <w:pPr>
              <w:pStyle w:val="80"/>
              <w:ind w:left="105" w:leftChars="50"/>
              <w:jc w:val="left"/>
              <w:rPr>
                <w:rFonts w:hint="eastAsia" w:ascii="宋体" w:hAnsi="宋体" w:cs="宋体"/>
              </w:rPr>
            </w:pPr>
            <w:r>
              <w:rPr>
                <w:rFonts w:hint="eastAsia" w:ascii="宋体" w:hAnsi="宋体" w:cs="宋体"/>
              </w:rPr>
              <w:t>采用强大的三星Exynos四核处理器</w:t>
            </w:r>
            <w:r>
              <w:rPr>
                <w:rFonts w:hint="eastAsia" w:ascii="宋体" w:hAnsi="宋体" w:cs="宋体"/>
              </w:rPr>
              <w:br w:type="textWrapping"/>
            </w:r>
            <w:r>
              <w:rPr>
                <w:rFonts w:hint="eastAsia" w:ascii="宋体" w:hAnsi="宋体" w:cs="宋体"/>
              </w:rPr>
              <w:t>9.7英寸1,024*768 LED电容式触摸屏</w:t>
            </w:r>
            <w:r>
              <w:rPr>
                <w:rFonts w:hint="eastAsia" w:ascii="宋体" w:hAnsi="宋体" w:cs="宋体"/>
              </w:rPr>
              <w:br w:type="textWrapping"/>
            </w:r>
            <w:r>
              <w:rPr>
                <w:rFonts w:hint="eastAsia" w:ascii="宋体" w:hAnsi="宋体" w:cs="宋体"/>
              </w:rPr>
              <w:t>内置稳定、快速的32GB固态硬盘驱动</w:t>
            </w:r>
            <w:r>
              <w:rPr>
                <w:rFonts w:hint="eastAsia" w:ascii="宋体" w:hAnsi="宋体" w:cs="宋体"/>
              </w:rPr>
              <w:br w:type="textWrapping"/>
            </w:r>
            <w:r>
              <w:rPr>
                <w:rFonts w:hint="eastAsia" w:ascii="宋体" w:hAnsi="宋体" w:cs="宋体"/>
              </w:rPr>
              <w:t>500万像素后置摄像头，具有自动闪光聚焦功能</w:t>
            </w:r>
            <w:r>
              <w:rPr>
                <w:rFonts w:hint="eastAsia" w:ascii="宋体" w:hAnsi="宋体" w:cs="宋体"/>
              </w:rPr>
              <w:br w:type="textWrapping"/>
            </w:r>
            <w:r>
              <w:rPr>
                <w:rFonts w:hint="eastAsia" w:ascii="宋体" w:hAnsi="宋体" w:cs="宋体"/>
              </w:rPr>
              <w:t>双带2.4GHz&amp;5.0Ghz Wi-Fi模块</w:t>
            </w:r>
            <w:r>
              <w:rPr>
                <w:rFonts w:hint="eastAsia" w:ascii="宋体" w:hAnsi="宋体" w:cs="宋体"/>
              </w:rPr>
              <w:br w:type="textWrapping"/>
            </w:r>
            <w:r>
              <w:rPr>
                <w:rFonts w:hint="eastAsia" w:ascii="宋体" w:hAnsi="宋体" w:cs="宋体"/>
              </w:rPr>
              <w:t>独特的人体工程学设计，外加加固型机壳与橡胶保护套</w:t>
            </w:r>
            <w:r>
              <w:rPr>
                <w:rFonts w:hint="eastAsia" w:ascii="宋体" w:hAnsi="宋体" w:cs="宋体"/>
              </w:rPr>
              <w:br w:type="textWrapping"/>
            </w:r>
            <w:r>
              <w:rPr>
                <w:rFonts w:hint="eastAsia" w:ascii="宋体" w:hAnsi="宋体" w:cs="宋体"/>
              </w:rPr>
              <w:t>内置可再充11000mAh3.7V锂电池，可持续运行长达8小时</w:t>
            </w:r>
            <w:r>
              <w:rPr>
                <w:rFonts w:hint="eastAsia" w:ascii="宋体" w:hAnsi="宋体" w:cs="宋体"/>
              </w:rPr>
              <w:br w:type="textWrapping"/>
            </w:r>
            <w:r>
              <w:rPr>
                <w:rFonts w:hint="eastAsia" w:ascii="宋体" w:hAnsi="宋体" w:cs="宋体"/>
              </w:rPr>
              <w:t>USB、音频及多个设备端口方便设备连接</w:t>
            </w:r>
            <w:r>
              <w:rPr>
                <w:rFonts w:hint="eastAsia" w:ascii="宋体" w:hAnsi="宋体" w:cs="宋体"/>
              </w:rPr>
              <w:br w:type="textWrapping"/>
            </w:r>
            <w:r>
              <w:rPr>
                <w:rFonts w:hint="eastAsia" w:ascii="宋体" w:hAnsi="宋体" w:cs="宋体"/>
              </w:rPr>
              <w:t>支持VCI蓝牙无线连接进行移动诊断远程车辆诊断通信</w:t>
            </w:r>
            <w:r>
              <w:rPr>
                <w:rFonts w:hint="eastAsia" w:ascii="宋体" w:hAnsi="宋体" w:cs="宋体"/>
              </w:rPr>
              <w:br w:type="textWrapping"/>
            </w:r>
            <w:r>
              <w:rPr>
                <w:rFonts w:hint="eastAsia" w:ascii="宋体" w:hAnsi="宋体" w:cs="宋体"/>
              </w:rPr>
              <w:t>软件功能</w:t>
            </w:r>
            <w:r>
              <w:rPr>
                <w:rFonts w:hint="eastAsia" w:ascii="宋体" w:hAnsi="宋体" w:cs="宋体"/>
              </w:rPr>
              <w:br w:type="textWrapping"/>
            </w:r>
            <w:r>
              <w:rPr>
                <w:rFonts w:hint="eastAsia" w:ascii="宋体" w:hAnsi="宋体" w:cs="宋体"/>
              </w:rPr>
              <w:t>采用全新的Android4.0多任务开源处理系统，可进行上网及下载app</w:t>
            </w:r>
            <w:r>
              <w:rPr>
                <w:rFonts w:hint="eastAsia" w:ascii="宋体" w:hAnsi="宋体" w:cs="宋体"/>
              </w:rPr>
              <w:br w:type="textWrapping"/>
            </w:r>
            <w:r>
              <w:rPr>
                <w:rFonts w:hint="eastAsia" w:ascii="宋体" w:hAnsi="宋体" w:cs="宋体"/>
              </w:rPr>
              <w:t>简易直观的菜单、美观的UI引导让您快速掌握设备操作</w:t>
            </w:r>
            <w:r>
              <w:rPr>
                <w:rFonts w:hint="eastAsia" w:ascii="宋体" w:hAnsi="宋体" w:cs="宋体"/>
              </w:rPr>
              <w:br w:type="textWrapping"/>
            </w:r>
            <w:r>
              <w:rPr>
                <w:rFonts w:hint="eastAsia" w:ascii="宋体" w:hAnsi="宋体" w:cs="宋体"/>
              </w:rPr>
              <w:t>支持超过120种国产、合资及进口车型诊断</w:t>
            </w:r>
            <w:r>
              <w:rPr>
                <w:rFonts w:hint="eastAsia" w:ascii="宋体" w:hAnsi="宋体" w:cs="宋体"/>
              </w:rPr>
              <w:br w:type="textWrapping"/>
            </w:r>
            <w:r>
              <w:rPr>
                <w:rFonts w:hint="eastAsia" w:ascii="宋体" w:hAnsi="宋体" w:cs="宋体"/>
              </w:rPr>
              <w:t>提供包括读码、清码、数据流、动作测试、自适应等完整诊断功能</w:t>
            </w:r>
            <w:r>
              <w:rPr>
                <w:rFonts w:hint="eastAsia" w:ascii="宋体" w:hAnsi="宋体" w:cs="宋体"/>
              </w:rPr>
              <w:br w:type="textWrapping"/>
            </w:r>
            <w:r>
              <w:rPr>
                <w:rFonts w:hint="eastAsia" w:ascii="宋体" w:hAnsi="宋体" w:cs="宋体"/>
              </w:rPr>
              <w:t>文本、波形图和仪表图等个性化、多样化数据流显示模式，让您轻松浏览和分析数据</w:t>
            </w:r>
            <w:r>
              <w:rPr>
                <w:rFonts w:hint="eastAsia" w:ascii="宋体" w:hAnsi="宋体" w:cs="宋体"/>
              </w:rPr>
              <w:br w:type="textWrapping"/>
            </w:r>
            <w:r>
              <w:rPr>
                <w:rFonts w:hint="eastAsia" w:ascii="宋体" w:hAnsi="宋体" w:cs="宋体"/>
              </w:rPr>
              <w:t>超灵敏触摸屏只需轻轻一点即可配置功能选项、设置开关并录制和回放测试结果</w:t>
            </w:r>
            <w:r>
              <w:rPr>
                <w:rFonts w:hint="eastAsia" w:ascii="宋体" w:hAnsi="宋体" w:cs="宋体"/>
              </w:rPr>
              <w:br w:type="textWrapping"/>
            </w:r>
            <w:r>
              <w:rPr>
                <w:rFonts w:hint="eastAsia" w:ascii="宋体" w:hAnsi="宋体" w:cs="宋体"/>
              </w:rPr>
              <w:t>记录和回放实时数据流，快速准确的定位传感器和组件故障</w:t>
            </w:r>
            <w:r>
              <w:rPr>
                <w:rFonts w:hint="eastAsia" w:ascii="宋体" w:hAnsi="宋体" w:cs="宋体"/>
              </w:rPr>
              <w:br w:type="textWrapping"/>
            </w:r>
            <w:r>
              <w:rPr>
                <w:rFonts w:hint="eastAsia" w:ascii="宋体" w:hAnsi="宋体" w:cs="宋体"/>
              </w:rPr>
              <w:t>使用云端数据管理技术，通过线上数据库查找诊断信息并与专家在线交流维修技巧</w:t>
            </w:r>
            <w:r>
              <w:rPr>
                <w:rFonts w:hint="eastAsia" w:ascii="宋体" w:hAnsi="宋体" w:cs="宋体"/>
              </w:rPr>
              <w:br w:type="textWrapping"/>
            </w:r>
            <w:r>
              <w:rPr>
                <w:rFonts w:hint="eastAsia" w:ascii="宋体" w:hAnsi="宋体" w:cs="宋体"/>
              </w:rPr>
              <w:t>远程桌面功能方便技术人员通过互联网直接向客户提供技术支持</w:t>
            </w:r>
            <w:r>
              <w:rPr>
                <w:rFonts w:hint="eastAsia" w:ascii="宋体" w:hAnsi="宋体" w:cs="宋体"/>
              </w:rPr>
              <w:br w:type="textWrapping"/>
            </w:r>
            <w:r>
              <w:rPr>
                <w:rFonts w:hint="eastAsia" w:ascii="宋体" w:hAnsi="宋体" w:cs="宋体"/>
              </w:rPr>
              <w:t>通过Wi-Fi连接互联网获得自动软件更新，并可随时随地打印各类诊断数据及报告</w:t>
            </w:r>
            <w:r>
              <w:rPr>
                <w:rFonts w:hint="eastAsia" w:ascii="宋体" w:hAnsi="宋体" w:cs="宋体"/>
              </w:rPr>
              <w:br w:type="textWrapping"/>
            </w:r>
            <w:r>
              <w:rPr>
                <w:rFonts w:hint="eastAsia" w:ascii="宋体" w:hAnsi="宋体" w:cs="宋体"/>
              </w:rPr>
              <w:t>支持功能(包含但不仅限于)</w:t>
            </w:r>
            <w:r>
              <w:rPr>
                <w:rFonts w:hint="eastAsia" w:ascii="宋体" w:hAnsi="宋体" w:cs="宋体"/>
              </w:rPr>
              <w:br w:type="textWrapping"/>
            </w:r>
            <w:r>
              <w:rPr>
                <w:rFonts w:hint="eastAsia" w:ascii="宋体" w:hAnsi="宋体" w:cs="宋体"/>
              </w:rPr>
              <w:t>设码、配置、编码、保养灯归零、节气门匹配、钥匙匹配、匹配自适应、基本设定、大众密码读取、读取故障码、清除故障码、读取VIN码、写入VIN码、读取数据流、读取电脑版本信息、清除学习值、安全登录、元件测试、自动检测全系统 ...</w:t>
            </w:r>
          </w:p>
        </w:tc>
        <w:tc>
          <w:tcPr>
            <w:tcW w:w="357" w:type="pct"/>
            <w:vAlign w:val="center"/>
          </w:tcPr>
          <w:p w14:paraId="54BE7DD0">
            <w:pPr>
              <w:jc w:val="center"/>
              <w:rPr>
                <w:rFonts w:hint="eastAsia" w:ascii="宋体" w:hAnsi="宋体" w:cs="宋体"/>
                <w:szCs w:val="21"/>
              </w:rPr>
            </w:pPr>
            <w:r>
              <w:rPr>
                <w:rFonts w:hint="eastAsia" w:ascii="宋体" w:hAnsi="宋体" w:cs="宋体"/>
                <w:szCs w:val="21"/>
              </w:rPr>
              <w:t>3</w:t>
            </w:r>
          </w:p>
        </w:tc>
        <w:tc>
          <w:tcPr>
            <w:tcW w:w="341" w:type="pct"/>
            <w:vAlign w:val="center"/>
          </w:tcPr>
          <w:p w14:paraId="2AED78BE">
            <w:pPr>
              <w:jc w:val="center"/>
              <w:rPr>
                <w:rFonts w:hint="eastAsia" w:ascii="宋体" w:hAnsi="宋体" w:cs="宋体"/>
                <w:szCs w:val="21"/>
              </w:rPr>
            </w:pPr>
            <w:r>
              <w:rPr>
                <w:rFonts w:hint="eastAsia" w:ascii="宋体" w:hAnsi="宋体" w:cs="宋体"/>
                <w:szCs w:val="21"/>
              </w:rPr>
              <w:t>套</w:t>
            </w:r>
          </w:p>
        </w:tc>
      </w:tr>
      <w:tr w14:paraId="5412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28905BA8">
            <w:pPr>
              <w:jc w:val="center"/>
              <w:rPr>
                <w:rFonts w:hint="eastAsia" w:ascii="宋体" w:hAnsi="宋体" w:cs="宋体"/>
                <w:b/>
                <w:bCs/>
                <w:szCs w:val="21"/>
              </w:rPr>
            </w:pPr>
            <w:r>
              <w:rPr>
                <w:rFonts w:hint="eastAsia" w:ascii="宋体" w:hAnsi="宋体" w:cs="宋体"/>
                <w:szCs w:val="21"/>
              </w:rPr>
              <w:t>39</w:t>
            </w:r>
          </w:p>
        </w:tc>
        <w:tc>
          <w:tcPr>
            <w:tcW w:w="536" w:type="pct"/>
            <w:vAlign w:val="center"/>
          </w:tcPr>
          <w:p w14:paraId="451917AB">
            <w:pPr>
              <w:pStyle w:val="80"/>
              <w:jc w:val="center"/>
              <w:rPr>
                <w:rFonts w:hint="eastAsia" w:ascii="宋体" w:hAnsi="宋体" w:cs="宋体"/>
              </w:rPr>
            </w:pPr>
            <w:r>
              <w:rPr>
                <w:rFonts w:hint="eastAsia" w:ascii="宋体" w:hAnsi="宋体" w:cs="宋体"/>
              </w:rPr>
              <w:t>接地电阻测试仪</w:t>
            </w:r>
          </w:p>
        </w:tc>
        <w:tc>
          <w:tcPr>
            <w:tcW w:w="3571" w:type="pct"/>
            <w:vAlign w:val="center"/>
          </w:tcPr>
          <w:p w14:paraId="6EADDA94">
            <w:pPr>
              <w:pStyle w:val="80"/>
              <w:ind w:left="105" w:leftChars="50"/>
              <w:jc w:val="left"/>
              <w:rPr>
                <w:rFonts w:hint="eastAsia" w:ascii="宋体" w:hAnsi="宋体" w:cs="宋体"/>
              </w:rPr>
            </w:pPr>
            <w:r>
              <w:rPr>
                <w:rFonts w:hint="eastAsia" w:ascii="宋体" w:hAnsi="宋体" w:cs="宋体"/>
              </w:rPr>
              <w:t>1、可进行接地电阻测试范围0-1000Ω；</w:t>
            </w:r>
            <w:r>
              <w:rPr>
                <w:rFonts w:hint="eastAsia" w:ascii="宋体" w:hAnsi="宋体" w:cs="宋体"/>
              </w:rPr>
              <w:br w:type="textWrapping"/>
            </w:r>
            <w:r>
              <w:rPr>
                <w:rFonts w:hint="eastAsia" w:ascii="宋体" w:hAnsi="宋体" w:cs="宋体"/>
              </w:rPr>
              <w:t>2、含金属摇柄额定转速：150r/min、量程选择旋钮、倍率选择开关、电流测量、表盘。</w:t>
            </w:r>
            <w:r>
              <w:rPr>
                <w:rFonts w:hint="eastAsia" w:ascii="宋体" w:hAnsi="宋体" w:cs="宋体"/>
              </w:rPr>
              <w:br w:type="textWrapping"/>
            </w:r>
            <w:r>
              <w:rPr>
                <w:rFonts w:hint="eastAsia" w:ascii="宋体" w:hAnsi="宋体" w:cs="宋体"/>
              </w:rPr>
              <w:t>3、有P、C、E接线端。</w:t>
            </w:r>
            <w:r>
              <w:rPr>
                <w:rFonts w:hint="eastAsia" w:ascii="宋体" w:hAnsi="宋体" w:cs="宋体"/>
              </w:rPr>
              <w:br w:type="textWrapping"/>
            </w:r>
            <w:r>
              <w:rPr>
                <w:rFonts w:hint="eastAsia" w:ascii="宋体" w:hAnsi="宋体" w:cs="宋体"/>
              </w:rPr>
              <w:t>4、外形尺寸：（170MM-175MM）×（110MM-120MM）×（130MM-135MM）</w:t>
            </w:r>
          </w:p>
        </w:tc>
        <w:tc>
          <w:tcPr>
            <w:tcW w:w="357" w:type="pct"/>
            <w:vAlign w:val="center"/>
          </w:tcPr>
          <w:p w14:paraId="1EA74958">
            <w:pPr>
              <w:jc w:val="center"/>
              <w:rPr>
                <w:rFonts w:hint="eastAsia" w:ascii="宋体" w:hAnsi="宋体" w:cs="宋体"/>
                <w:szCs w:val="21"/>
              </w:rPr>
            </w:pPr>
            <w:r>
              <w:rPr>
                <w:rFonts w:hint="eastAsia" w:ascii="宋体" w:hAnsi="宋体" w:cs="宋体"/>
                <w:szCs w:val="21"/>
              </w:rPr>
              <w:t>3</w:t>
            </w:r>
          </w:p>
        </w:tc>
        <w:tc>
          <w:tcPr>
            <w:tcW w:w="341" w:type="pct"/>
            <w:vAlign w:val="center"/>
          </w:tcPr>
          <w:p w14:paraId="12B565E6">
            <w:pPr>
              <w:jc w:val="center"/>
              <w:rPr>
                <w:rFonts w:hint="eastAsia" w:ascii="宋体" w:hAnsi="宋体" w:cs="宋体"/>
                <w:szCs w:val="21"/>
              </w:rPr>
            </w:pPr>
            <w:r>
              <w:rPr>
                <w:rFonts w:hint="eastAsia" w:ascii="宋体" w:hAnsi="宋体" w:cs="宋体"/>
                <w:szCs w:val="21"/>
              </w:rPr>
              <w:t>套</w:t>
            </w:r>
          </w:p>
        </w:tc>
      </w:tr>
      <w:tr w14:paraId="55D9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7613A819">
            <w:pPr>
              <w:jc w:val="center"/>
              <w:rPr>
                <w:rFonts w:hint="eastAsia" w:ascii="宋体" w:hAnsi="宋体" w:cs="宋体"/>
                <w:b/>
                <w:bCs/>
                <w:szCs w:val="21"/>
              </w:rPr>
            </w:pPr>
            <w:r>
              <w:rPr>
                <w:rFonts w:hint="eastAsia" w:ascii="宋体" w:hAnsi="宋体" w:cs="宋体"/>
                <w:szCs w:val="21"/>
              </w:rPr>
              <w:t>40</w:t>
            </w:r>
          </w:p>
        </w:tc>
        <w:tc>
          <w:tcPr>
            <w:tcW w:w="536" w:type="pct"/>
            <w:vAlign w:val="center"/>
          </w:tcPr>
          <w:p w14:paraId="6B24AEEE">
            <w:pPr>
              <w:pStyle w:val="80"/>
              <w:jc w:val="center"/>
              <w:rPr>
                <w:rFonts w:hint="eastAsia" w:ascii="宋体" w:hAnsi="宋体" w:cs="宋体"/>
              </w:rPr>
            </w:pPr>
            <w:r>
              <w:rPr>
                <w:rFonts w:hint="eastAsia" w:ascii="宋体" w:hAnsi="宋体" w:cs="宋体"/>
              </w:rPr>
              <w:t>绝缘电阻测试仪</w:t>
            </w:r>
          </w:p>
        </w:tc>
        <w:tc>
          <w:tcPr>
            <w:tcW w:w="3571" w:type="pct"/>
            <w:vAlign w:val="center"/>
          </w:tcPr>
          <w:p w14:paraId="7957D75E">
            <w:pPr>
              <w:pStyle w:val="80"/>
              <w:ind w:left="105" w:leftChars="50"/>
              <w:jc w:val="left"/>
              <w:rPr>
                <w:rFonts w:hint="eastAsia" w:ascii="宋体" w:hAnsi="宋体" w:cs="宋体"/>
              </w:rPr>
            </w:pPr>
            <w:r>
              <w:rPr>
                <w:rFonts w:hint="eastAsia" w:ascii="宋体" w:hAnsi="宋体" w:cs="宋体"/>
              </w:rPr>
              <w:t>MS5203是一款新型绝缘电阻测试仪，它可选择50V-1000V电压输出，绝缘电阻测试范围为：0.01M-10.00GΩ仪表设计严格遵守欧盟EN61010-1的1000V CAT III A安全等级规定，采用高速微处理器芯片，使仪表具有更高的稳定性和精确性，仪表具有直流电压测量，交流电压测量 通段电阻，绝缘电阻，短路电流，绝缘测试锁定，相对测量，报警设定，定时测量，最大值/最小值/平均值，极化指数（pi）与吸收比（DAR）数据保持，数据存储，自动关机，过载保护，带电检测报警，自动放电，背光照明，低电池指示等功能等</w:t>
            </w:r>
          </w:p>
        </w:tc>
        <w:tc>
          <w:tcPr>
            <w:tcW w:w="357" w:type="pct"/>
            <w:vAlign w:val="center"/>
          </w:tcPr>
          <w:p w14:paraId="39EE3B8B">
            <w:pPr>
              <w:jc w:val="center"/>
              <w:rPr>
                <w:rFonts w:hint="eastAsia" w:ascii="宋体" w:hAnsi="宋体" w:cs="宋体"/>
                <w:szCs w:val="21"/>
              </w:rPr>
            </w:pPr>
            <w:r>
              <w:rPr>
                <w:rFonts w:hint="eastAsia" w:ascii="宋体" w:hAnsi="宋体" w:cs="宋体"/>
                <w:szCs w:val="21"/>
              </w:rPr>
              <w:t>3</w:t>
            </w:r>
          </w:p>
        </w:tc>
        <w:tc>
          <w:tcPr>
            <w:tcW w:w="341" w:type="pct"/>
            <w:vAlign w:val="center"/>
          </w:tcPr>
          <w:p w14:paraId="036F09DC">
            <w:pPr>
              <w:jc w:val="center"/>
              <w:rPr>
                <w:rFonts w:hint="eastAsia" w:ascii="宋体" w:hAnsi="宋体" w:cs="宋体"/>
                <w:szCs w:val="21"/>
              </w:rPr>
            </w:pPr>
            <w:r>
              <w:rPr>
                <w:rFonts w:hint="eastAsia" w:ascii="宋体" w:hAnsi="宋体" w:cs="宋体"/>
                <w:szCs w:val="21"/>
              </w:rPr>
              <w:t>套</w:t>
            </w:r>
          </w:p>
        </w:tc>
      </w:tr>
      <w:tr w14:paraId="212F7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226187D4">
            <w:pPr>
              <w:jc w:val="center"/>
              <w:rPr>
                <w:rFonts w:hint="eastAsia" w:ascii="宋体" w:hAnsi="宋体" w:cs="宋体"/>
                <w:b/>
                <w:bCs/>
                <w:szCs w:val="21"/>
              </w:rPr>
            </w:pPr>
            <w:r>
              <w:rPr>
                <w:rFonts w:hint="eastAsia" w:ascii="宋体" w:hAnsi="宋体" w:cs="宋体"/>
                <w:szCs w:val="21"/>
              </w:rPr>
              <w:t>41</w:t>
            </w:r>
          </w:p>
        </w:tc>
        <w:tc>
          <w:tcPr>
            <w:tcW w:w="536" w:type="pct"/>
            <w:vAlign w:val="center"/>
          </w:tcPr>
          <w:p w14:paraId="12A48990">
            <w:pPr>
              <w:pStyle w:val="80"/>
              <w:jc w:val="center"/>
              <w:rPr>
                <w:rFonts w:hint="eastAsia" w:ascii="宋体" w:hAnsi="宋体" w:cs="宋体"/>
              </w:rPr>
            </w:pPr>
            <w:r>
              <w:rPr>
                <w:rFonts w:hint="eastAsia" w:ascii="宋体" w:hAnsi="宋体" w:cs="宋体"/>
              </w:rPr>
              <w:t>电池内阻测试仪</w:t>
            </w:r>
          </w:p>
        </w:tc>
        <w:tc>
          <w:tcPr>
            <w:tcW w:w="3571" w:type="pct"/>
            <w:vAlign w:val="center"/>
          </w:tcPr>
          <w:p w14:paraId="4D3E1FF8">
            <w:pPr>
              <w:pStyle w:val="80"/>
              <w:ind w:left="105" w:leftChars="50"/>
              <w:jc w:val="left"/>
              <w:rPr>
                <w:rFonts w:hint="eastAsia" w:ascii="宋体" w:hAnsi="宋体" w:cs="宋体"/>
              </w:rPr>
            </w:pPr>
            <w:r>
              <w:rPr>
                <w:rFonts w:hint="eastAsia" w:ascii="宋体" w:hAnsi="宋体" w:cs="宋体"/>
              </w:rPr>
              <w:t>测试参数 交流电阻、直流电压</w:t>
            </w:r>
            <w:r>
              <w:rPr>
                <w:rFonts w:hint="eastAsia" w:ascii="宋体" w:hAnsi="宋体" w:cs="宋体"/>
              </w:rPr>
              <w:br w:type="textWrapping"/>
            </w:r>
            <w:r>
              <w:rPr>
                <w:rFonts w:hint="eastAsia" w:ascii="宋体" w:hAnsi="宋体" w:cs="宋体"/>
              </w:rPr>
              <w:t>基本准确度 电阻：0.8%±5dgt（最高分辨率0.001mΩ）电压：0.05%±5dgt（最高分辨率0.1mV）</w:t>
            </w:r>
            <w:r>
              <w:rPr>
                <w:rFonts w:hint="eastAsia" w:ascii="宋体" w:hAnsi="宋体" w:cs="宋体"/>
              </w:rPr>
              <w:br w:type="textWrapping"/>
            </w:r>
            <w:r>
              <w:rPr>
                <w:rFonts w:hint="eastAsia" w:ascii="宋体" w:hAnsi="宋体" w:cs="宋体"/>
              </w:rPr>
              <w:t>测量范围 电阻：0.001mΩ~3.3000Ω 电压：0.0001V～60.000V</w:t>
            </w:r>
            <w:r>
              <w:rPr>
                <w:rFonts w:hint="eastAsia" w:ascii="宋体" w:hAnsi="宋体" w:cs="宋体"/>
              </w:rPr>
              <w:br w:type="textWrapping"/>
            </w:r>
            <w:r>
              <w:rPr>
                <w:rFonts w:hint="eastAsia" w:ascii="宋体" w:hAnsi="宋体" w:cs="宋体"/>
              </w:rPr>
              <w:t>信号源 交流：1kHz 开路电压：&lt;30mV（减少对被测电池伤害） 测试电流：&lt;15mA</w:t>
            </w:r>
            <w:r>
              <w:rPr>
                <w:rFonts w:hint="eastAsia" w:ascii="宋体" w:hAnsi="宋体" w:cs="宋体"/>
              </w:rPr>
              <w:br w:type="textWrapping"/>
            </w:r>
            <w:r>
              <w:rPr>
                <w:rFonts w:hint="eastAsia" w:ascii="宋体" w:hAnsi="宋体" w:cs="宋体"/>
              </w:rPr>
              <w:t>量程 四量程自动、手动和标称测试</w:t>
            </w:r>
            <w:r>
              <w:rPr>
                <w:rFonts w:hint="eastAsia" w:ascii="宋体" w:hAnsi="宋体" w:cs="宋体"/>
              </w:rPr>
              <w:br w:type="textWrapping"/>
            </w:r>
            <w:r>
              <w:rPr>
                <w:rFonts w:hint="eastAsia" w:ascii="宋体" w:hAnsi="宋体" w:cs="宋体"/>
              </w:rPr>
              <w:t>测试速度 1次/秒</w:t>
            </w:r>
            <w:r>
              <w:rPr>
                <w:rFonts w:hint="eastAsia" w:ascii="宋体" w:hAnsi="宋体" w:cs="宋体"/>
              </w:rPr>
              <w:br w:type="textWrapping"/>
            </w:r>
            <w:r>
              <w:rPr>
                <w:rFonts w:hint="eastAsia" w:ascii="宋体" w:hAnsi="宋体" w:cs="宋体"/>
              </w:rPr>
              <w:t>显示结果 绝对偏差（ABS）比较方式、相对偏差（PER）和顺序（SEQ）比较方式</w:t>
            </w:r>
            <w:r>
              <w:rPr>
                <w:rFonts w:hint="eastAsia" w:ascii="宋体" w:hAnsi="宋体" w:cs="宋体"/>
              </w:rPr>
              <w:br w:type="textWrapping"/>
            </w:r>
            <w:r>
              <w:rPr>
                <w:rFonts w:hint="eastAsia" w:ascii="宋体" w:hAnsi="宋体" w:cs="宋体"/>
              </w:rPr>
              <w:t>最大读数 电阻：3300数电压：6000数</w:t>
            </w:r>
            <w:r>
              <w:rPr>
                <w:rFonts w:hint="eastAsia" w:ascii="宋体" w:hAnsi="宋体" w:cs="宋体"/>
              </w:rPr>
              <w:br w:type="textWrapping"/>
            </w:r>
            <w:r>
              <w:rPr>
                <w:rFonts w:hint="eastAsia" w:ascii="宋体" w:hAnsi="宋体" w:cs="宋体"/>
              </w:rPr>
              <w:t>校正 全量程短路清零功能</w:t>
            </w:r>
            <w:r>
              <w:rPr>
                <w:rFonts w:hint="eastAsia" w:ascii="宋体" w:hAnsi="宋体" w:cs="宋体"/>
              </w:rPr>
              <w:br w:type="textWrapping"/>
            </w:r>
            <w:r>
              <w:rPr>
                <w:rFonts w:hint="eastAsia" w:ascii="宋体" w:hAnsi="宋体" w:cs="宋体"/>
              </w:rPr>
              <w:t>比较器 电压单独比较 电阻单独比较 电压电阻组合比较 GD/NG分选结果显示 讯响</w:t>
            </w:r>
            <w:r>
              <w:rPr>
                <w:rFonts w:hint="eastAsia" w:ascii="宋体" w:hAnsi="宋体" w:cs="宋体"/>
              </w:rPr>
              <w:br w:type="textWrapping"/>
            </w:r>
            <w:r>
              <w:rPr>
                <w:rFonts w:hint="eastAsia" w:ascii="宋体" w:hAnsi="宋体" w:cs="宋体"/>
              </w:rPr>
              <w:t>触发器 内部触发、手动触发、远程触发</w:t>
            </w:r>
            <w:r>
              <w:rPr>
                <w:rFonts w:hint="eastAsia" w:ascii="宋体" w:hAnsi="宋体" w:cs="宋体"/>
              </w:rPr>
              <w:br w:type="textWrapping"/>
            </w:r>
            <w:r>
              <w:rPr>
                <w:rFonts w:hint="eastAsia" w:ascii="宋体" w:hAnsi="宋体" w:cs="宋体"/>
              </w:rPr>
              <w:t>接口 内置Mini-USB接口（虚拟串口） 充电接口 U盘接口</w:t>
            </w:r>
            <w:r>
              <w:rPr>
                <w:rFonts w:hint="eastAsia" w:ascii="宋体" w:hAnsi="宋体" w:cs="宋体"/>
              </w:rPr>
              <w:br w:type="textWrapping"/>
            </w:r>
            <w:r>
              <w:rPr>
                <w:rFonts w:hint="eastAsia" w:ascii="宋体" w:hAnsi="宋体" w:cs="宋体"/>
              </w:rPr>
              <w:t>电源要求 输入：100-240V~50/60Hz 0.35A 输出：9V 1A DC ##8.4V 2200mAh锂电池</w:t>
            </w:r>
            <w:r>
              <w:rPr>
                <w:rFonts w:hint="eastAsia" w:ascii="宋体" w:hAnsi="宋体" w:cs="宋体"/>
              </w:rPr>
              <w:br w:type="textWrapping"/>
            </w:r>
            <w:r>
              <w:rPr>
                <w:rFonts w:hint="eastAsia" w:ascii="宋体" w:hAnsi="宋体" w:cs="宋体"/>
              </w:rPr>
              <w:t>尺寸与重量 外尺寸（mm）：（130-135）x（210-215)x（37-39 ) 重量：640g-650g</w:t>
            </w:r>
            <w:r>
              <w:rPr>
                <w:rFonts w:hint="eastAsia" w:ascii="宋体" w:hAnsi="宋体" w:cs="宋体"/>
              </w:rPr>
              <w:br w:type="textWrapping"/>
            </w:r>
            <w:r>
              <w:rPr>
                <w:rFonts w:hint="eastAsia" w:ascii="宋体" w:hAnsi="宋体" w:cs="宋体"/>
              </w:rPr>
              <w:t>附件 ATL501B四端开尔文测试夹 ATL909直流电源适配器 ATL202便携包 ATL804锂电池 ATL105Mini-USB通讯电缆 ﹡ATS528数据采集软件</w:t>
            </w:r>
            <w:r>
              <w:rPr>
                <w:rFonts w:hint="eastAsia" w:ascii="宋体" w:hAnsi="宋体" w:cs="宋体"/>
              </w:rPr>
              <w:br w:type="textWrapping"/>
            </w:r>
            <w:r>
              <w:rPr>
                <w:rFonts w:hint="eastAsia" w:ascii="宋体" w:hAnsi="宋体" w:cs="宋体"/>
              </w:rPr>
              <w:t>可选附件 18650夹具</w:t>
            </w:r>
            <w:r>
              <w:rPr>
                <w:rFonts w:hint="eastAsia" w:ascii="宋体" w:hAnsi="宋体" w:cs="宋体"/>
              </w:rPr>
              <w:br w:type="textWrapping"/>
            </w:r>
            <w:r>
              <w:rPr>
                <w:rFonts w:hint="eastAsia" w:ascii="宋体" w:hAnsi="宋体" w:cs="宋体"/>
              </w:rPr>
              <w:t>其他 3.5英吋真彩液晶显示；键盘锁、数据保持功能；兼容SCPI指令集；中、英文切换；背光灯调节；大容量锂电池实现超长待机，自动关机 ； 500组测量数据一键保存</w:t>
            </w:r>
          </w:p>
        </w:tc>
        <w:tc>
          <w:tcPr>
            <w:tcW w:w="357" w:type="pct"/>
            <w:vAlign w:val="center"/>
          </w:tcPr>
          <w:p w14:paraId="635D51F2">
            <w:pPr>
              <w:jc w:val="center"/>
              <w:rPr>
                <w:rFonts w:hint="eastAsia" w:ascii="宋体" w:hAnsi="宋体" w:cs="宋体"/>
                <w:szCs w:val="21"/>
              </w:rPr>
            </w:pPr>
            <w:r>
              <w:rPr>
                <w:rFonts w:hint="eastAsia" w:ascii="宋体" w:hAnsi="宋体" w:cs="宋体"/>
                <w:szCs w:val="21"/>
              </w:rPr>
              <w:t>3</w:t>
            </w:r>
          </w:p>
        </w:tc>
        <w:tc>
          <w:tcPr>
            <w:tcW w:w="341" w:type="pct"/>
            <w:vAlign w:val="center"/>
          </w:tcPr>
          <w:p w14:paraId="0E1D9D7D">
            <w:pPr>
              <w:jc w:val="center"/>
              <w:rPr>
                <w:rFonts w:hint="eastAsia" w:ascii="宋体" w:hAnsi="宋体" w:cs="宋体"/>
                <w:szCs w:val="21"/>
              </w:rPr>
            </w:pPr>
            <w:r>
              <w:rPr>
                <w:rFonts w:hint="eastAsia" w:ascii="宋体" w:hAnsi="宋体" w:cs="宋体"/>
                <w:szCs w:val="21"/>
              </w:rPr>
              <w:t>套</w:t>
            </w:r>
          </w:p>
        </w:tc>
      </w:tr>
      <w:tr w14:paraId="36FC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36396413">
            <w:pPr>
              <w:jc w:val="center"/>
              <w:rPr>
                <w:rFonts w:hint="eastAsia" w:ascii="宋体" w:hAnsi="宋体" w:cs="宋体"/>
                <w:b/>
                <w:bCs/>
                <w:szCs w:val="21"/>
              </w:rPr>
            </w:pPr>
            <w:r>
              <w:rPr>
                <w:rFonts w:hint="eastAsia" w:ascii="宋体" w:hAnsi="宋体" w:cs="宋体"/>
                <w:szCs w:val="21"/>
              </w:rPr>
              <w:t>42</w:t>
            </w:r>
          </w:p>
        </w:tc>
        <w:tc>
          <w:tcPr>
            <w:tcW w:w="536" w:type="pct"/>
            <w:vAlign w:val="center"/>
          </w:tcPr>
          <w:p w14:paraId="52C10C0F">
            <w:pPr>
              <w:pStyle w:val="80"/>
              <w:jc w:val="center"/>
              <w:rPr>
                <w:rFonts w:hint="eastAsia" w:ascii="宋体" w:hAnsi="宋体" w:cs="宋体"/>
              </w:rPr>
            </w:pPr>
            <w:r>
              <w:rPr>
                <w:rFonts w:hint="eastAsia" w:ascii="宋体" w:hAnsi="宋体" w:cs="宋体"/>
              </w:rPr>
              <w:t>数字万用表</w:t>
            </w:r>
          </w:p>
        </w:tc>
        <w:tc>
          <w:tcPr>
            <w:tcW w:w="3571" w:type="pct"/>
            <w:vAlign w:val="center"/>
          </w:tcPr>
          <w:p w14:paraId="52F88F83">
            <w:pPr>
              <w:pStyle w:val="80"/>
              <w:ind w:left="105" w:leftChars="50"/>
              <w:jc w:val="left"/>
              <w:rPr>
                <w:rFonts w:hint="eastAsia" w:ascii="宋体" w:hAnsi="宋体" w:cs="宋体"/>
              </w:rPr>
            </w:pPr>
            <w:r>
              <w:rPr>
                <w:rFonts w:hint="eastAsia" w:ascii="宋体" w:hAnsi="宋体" w:cs="宋体"/>
              </w:rPr>
              <w:t>万用表：</w:t>
            </w:r>
            <w:r>
              <w:rPr>
                <w:rFonts w:hint="eastAsia" w:ascii="宋体" w:hAnsi="宋体" w:cs="宋体"/>
              </w:rPr>
              <w:br w:type="textWrapping"/>
            </w:r>
            <w:r>
              <w:rPr>
                <w:rFonts w:hint="eastAsia" w:ascii="宋体" w:hAnsi="宋体" w:cs="宋体"/>
              </w:rPr>
              <w:t>①NCV非接触交流验电,分4段电压信号强弱感应和频率感应功能，VFC变频功能,能减少高频信号对测量结果的影响，内置手电筒应对夜间或阴暗环境作业。</w:t>
            </w:r>
            <w:r>
              <w:rPr>
                <w:rFonts w:hint="eastAsia" w:ascii="宋体" w:hAnsi="宋体" w:cs="宋体"/>
              </w:rPr>
              <w:br w:type="textWrapping"/>
            </w:r>
            <w:r>
              <w:rPr>
                <w:rFonts w:hint="eastAsia" w:ascii="宋体" w:hAnsi="宋体" w:cs="宋体"/>
              </w:rPr>
              <w:t>②可测试直流电压（DC1000V）、交流电压（AC750V）、电阻、电容、频率、直流电流、交流电流、二极管测试、通断报警、低压显示、单位符号显示、数据保持、自动关机、过载保护、输入阻抗、采样频率、交流频响、操作方式、显示计数、钳口张开、电源等功能。</w:t>
            </w:r>
          </w:p>
        </w:tc>
        <w:tc>
          <w:tcPr>
            <w:tcW w:w="357" w:type="pct"/>
            <w:vAlign w:val="center"/>
          </w:tcPr>
          <w:p w14:paraId="24A67C4B">
            <w:pPr>
              <w:jc w:val="center"/>
              <w:rPr>
                <w:rFonts w:hint="eastAsia" w:ascii="宋体" w:hAnsi="宋体" w:cs="宋体"/>
                <w:szCs w:val="21"/>
              </w:rPr>
            </w:pPr>
            <w:r>
              <w:rPr>
                <w:rFonts w:hint="eastAsia" w:ascii="宋体" w:hAnsi="宋体" w:cs="宋体"/>
                <w:szCs w:val="21"/>
              </w:rPr>
              <w:t>3</w:t>
            </w:r>
          </w:p>
        </w:tc>
        <w:tc>
          <w:tcPr>
            <w:tcW w:w="341" w:type="pct"/>
            <w:vAlign w:val="center"/>
          </w:tcPr>
          <w:p w14:paraId="21FB0BB6">
            <w:pPr>
              <w:jc w:val="center"/>
              <w:rPr>
                <w:rFonts w:hint="eastAsia" w:ascii="宋体" w:hAnsi="宋体" w:cs="宋体"/>
                <w:szCs w:val="21"/>
              </w:rPr>
            </w:pPr>
            <w:r>
              <w:rPr>
                <w:rFonts w:hint="eastAsia" w:ascii="宋体" w:hAnsi="宋体" w:cs="宋体"/>
                <w:szCs w:val="21"/>
              </w:rPr>
              <w:t>套</w:t>
            </w:r>
          </w:p>
        </w:tc>
      </w:tr>
      <w:tr w14:paraId="3943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vAlign w:val="center"/>
          </w:tcPr>
          <w:p w14:paraId="22834943">
            <w:pPr>
              <w:jc w:val="center"/>
              <w:rPr>
                <w:rFonts w:hint="eastAsia" w:ascii="宋体" w:hAnsi="宋体" w:cs="宋体"/>
                <w:b/>
                <w:bCs/>
                <w:szCs w:val="21"/>
              </w:rPr>
            </w:pPr>
            <w:r>
              <w:rPr>
                <w:rFonts w:hint="eastAsia" w:ascii="宋体" w:hAnsi="宋体" w:cs="宋体"/>
                <w:szCs w:val="21"/>
              </w:rPr>
              <w:t>43</w:t>
            </w:r>
          </w:p>
        </w:tc>
        <w:tc>
          <w:tcPr>
            <w:tcW w:w="536" w:type="pct"/>
            <w:vAlign w:val="center"/>
          </w:tcPr>
          <w:p w14:paraId="219E5BC5">
            <w:pPr>
              <w:pStyle w:val="80"/>
              <w:jc w:val="center"/>
              <w:rPr>
                <w:rFonts w:hint="eastAsia" w:ascii="宋体" w:hAnsi="宋体" w:cs="宋体"/>
              </w:rPr>
            </w:pPr>
            <w:r>
              <w:rPr>
                <w:rFonts w:hint="eastAsia" w:ascii="宋体" w:hAnsi="宋体" w:cs="宋体"/>
              </w:rPr>
              <w:t>手持示波器</w:t>
            </w:r>
          </w:p>
        </w:tc>
        <w:tc>
          <w:tcPr>
            <w:tcW w:w="3571" w:type="pct"/>
            <w:vAlign w:val="center"/>
          </w:tcPr>
          <w:p w14:paraId="53335288">
            <w:pPr>
              <w:pStyle w:val="80"/>
              <w:ind w:left="105" w:leftChars="50"/>
              <w:jc w:val="left"/>
              <w:rPr>
                <w:rFonts w:hint="eastAsia" w:ascii="宋体" w:hAnsi="宋体" w:cs="宋体"/>
              </w:rPr>
            </w:pPr>
            <w:r>
              <w:rPr>
                <w:rFonts w:hint="eastAsia" w:ascii="宋体" w:hAnsi="宋体" w:cs="宋体"/>
              </w:rPr>
              <w:t>手持示波器：</w:t>
            </w:r>
            <w:r>
              <w:rPr>
                <w:rFonts w:hint="eastAsia" w:ascii="宋体" w:hAnsi="宋体" w:cs="宋体"/>
              </w:rPr>
              <w:br w:type="textWrapping"/>
            </w:r>
            <w:r>
              <w:rPr>
                <w:rFonts w:hint="eastAsia" w:ascii="宋体" w:hAnsi="宋体" w:cs="宋体"/>
              </w:rPr>
              <w:t>①双输入数字示波器和万用表。</w:t>
            </w:r>
            <w:r>
              <w:rPr>
                <w:rFonts w:hint="eastAsia" w:ascii="宋体" w:hAnsi="宋体" w:cs="宋体"/>
              </w:rPr>
              <w:br w:type="textWrapping"/>
            </w:r>
            <w:r>
              <w:rPr>
                <w:rFonts w:hint="eastAsia" w:ascii="宋体" w:hAnsi="宋体" w:cs="宋体"/>
              </w:rPr>
              <w:t>②实时采样率1GSa/s，带宽100MHz，存储深度每通2Mpts，垂直灵敏度5ns/div-50s/div。</w:t>
            </w:r>
            <w:r>
              <w:rPr>
                <w:rFonts w:hint="eastAsia" w:ascii="宋体" w:hAnsi="宋体" w:cs="宋体"/>
              </w:rPr>
              <w:br w:type="textWrapping"/>
            </w:r>
            <w:r>
              <w:rPr>
                <w:rFonts w:hint="eastAsia" w:ascii="宋体" w:hAnsi="宋体" w:cs="宋体"/>
              </w:rPr>
              <w:t>③触发类型包括脉宽、视频、边沿、交替等。</w:t>
            </w:r>
            <w:r>
              <w:rPr>
                <w:rFonts w:hint="eastAsia" w:ascii="宋体" w:hAnsi="宋体" w:cs="宋体"/>
              </w:rPr>
              <w:br w:type="textWrapping"/>
            </w:r>
            <w:r>
              <w:rPr>
                <w:rFonts w:hint="eastAsia" w:ascii="宋体" w:hAnsi="宋体" w:cs="宋体"/>
              </w:rPr>
              <w:t>④具有精细的视窗扩展功能、屏幕拷贝功能、U盘升级功能。</w:t>
            </w:r>
            <w:r>
              <w:rPr>
                <w:rFonts w:hint="eastAsia" w:ascii="宋体" w:hAnsi="宋体" w:cs="宋体"/>
              </w:rPr>
              <w:br w:type="textWrapping"/>
            </w:r>
            <w:r>
              <w:rPr>
                <w:rFonts w:hint="eastAsia" w:ascii="宋体" w:hAnsi="宋体" w:cs="宋体"/>
              </w:rPr>
              <w:t>⑤5000mAh锂电池供电，持续工作时间不低于5个小时。</w:t>
            </w:r>
          </w:p>
        </w:tc>
        <w:tc>
          <w:tcPr>
            <w:tcW w:w="357" w:type="pct"/>
            <w:vAlign w:val="center"/>
          </w:tcPr>
          <w:p w14:paraId="72F20D8F">
            <w:pPr>
              <w:jc w:val="center"/>
              <w:rPr>
                <w:rFonts w:hint="eastAsia" w:ascii="宋体" w:hAnsi="宋体" w:cs="宋体"/>
                <w:szCs w:val="21"/>
              </w:rPr>
            </w:pPr>
            <w:r>
              <w:rPr>
                <w:rFonts w:hint="eastAsia" w:ascii="宋体" w:hAnsi="宋体" w:cs="宋体"/>
                <w:szCs w:val="21"/>
              </w:rPr>
              <w:t>4</w:t>
            </w:r>
          </w:p>
        </w:tc>
        <w:tc>
          <w:tcPr>
            <w:tcW w:w="341" w:type="pct"/>
            <w:vAlign w:val="center"/>
          </w:tcPr>
          <w:p w14:paraId="4AFF2534">
            <w:pPr>
              <w:jc w:val="center"/>
              <w:rPr>
                <w:rFonts w:hint="eastAsia" w:ascii="宋体" w:hAnsi="宋体" w:cs="宋体"/>
                <w:szCs w:val="21"/>
              </w:rPr>
            </w:pPr>
            <w:r>
              <w:rPr>
                <w:rFonts w:hint="eastAsia" w:ascii="宋体" w:hAnsi="宋体" w:cs="宋体"/>
                <w:szCs w:val="21"/>
              </w:rPr>
              <w:t>台</w:t>
            </w:r>
          </w:p>
        </w:tc>
      </w:tr>
      <w:tr w14:paraId="567B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5" w:hRule="atLeast"/>
        </w:trPr>
        <w:tc>
          <w:tcPr>
            <w:tcW w:w="193" w:type="pct"/>
            <w:tcBorders>
              <w:bottom w:val="single" w:color="auto" w:sz="4" w:space="0"/>
            </w:tcBorders>
            <w:vAlign w:val="center"/>
          </w:tcPr>
          <w:p w14:paraId="5E073435">
            <w:pPr>
              <w:jc w:val="center"/>
              <w:rPr>
                <w:rFonts w:hint="eastAsia" w:ascii="宋体" w:hAnsi="宋体" w:cs="宋体"/>
                <w:b/>
                <w:bCs/>
                <w:szCs w:val="21"/>
              </w:rPr>
            </w:pPr>
            <w:r>
              <w:rPr>
                <w:rFonts w:hint="eastAsia" w:ascii="宋体" w:hAnsi="宋体" w:cs="宋体"/>
                <w:szCs w:val="21"/>
              </w:rPr>
              <w:t>44</w:t>
            </w:r>
          </w:p>
        </w:tc>
        <w:tc>
          <w:tcPr>
            <w:tcW w:w="536" w:type="pct"/>
            <w:tcBorders>
              <w:bottom w:val="single" w:color="auto" w:sz="4" w:space="0"/>
            </w:tcBorders>
            <w:vAlign w:val="center"/>
          </w:tcPr>
          <w:p w14:paraId="556ABBFB">
            <w:pPr>
              <w:pStyle w:val="80"/>
              <w:jc w:val="center"/>
              <w:rPr>
                <w:rFonts w:hint="eastAsia" w:ascii="宋体" w:hAnsi="宋体" w:cs="宋体"/>
              </w:rPr>
            </w:pPr>
            <w:r>
              <w:rPr>
                <w:rFonts w:hint="eastAsia" w:ascii="宋体" w:hAnsi="宋体" w:cs="宋体"/>
              </w:rPr>
              <w:t>125件 新能源（绝缘）工具组合方案</w:t>
            </w:r>
          </w:p>
        </w:tc>
        <w:tc>
          <w:tcPr>
            <w:tcW w:w="3571" w:type="pct"/>
            <w:tcBorders>
              <w:bottom w:val="single" w:color="auto" w:sz="4" w:space="0"/>
            </w:tcBorders>
            <w:vAlign w:val="center"/>
          </w:tcPr>
          <w:p w14:paraId="7ABA6725">
            <w:pPr>
              <w:pStyle w:val="80"/>
              <w:ind w:left="105" w:leftChars="50"/>
              <w:jc w:val="left"/>
              <w:rPr>
                <w:rFonts w:hint="eastAsia" w:ascii="宋体" w:hAnsi="宋体" w:cs="宋体"/>
              </w:rPr>
            </w:pPr>
            <w:r>
              <w:rPr>
                <w:rFonts w:hint="eastAsia" w:ascii="宋体" w:hAnsi="宋体" w:cs="宋体"/>
              </w:rPr>
              <w:t>120件新能源车绝缘工具维修组套及50件绝缘可换头螺丝批组套，双色柄绝缘开口扳手不同规格11件，双色柄绝缘梅花扳手不同规格13件，黑色电工绝缘胶带1个，双色柄绝缘开口扳手2个，双色柄绝缘活络扳手1个，绝缘水泵钳、绝缘尖嘴钳、绝缘斜嘴钳、绝缘剥线钳、绝缘钢丝钳各1个，绝缘螺丝批不同规格6件，双色直刃式绝缘电工刀个，1/2"绝缘六角套筒不同规格17件，1/2"绝缘六角旋具套筒不同规格5件，3/8"绝缘延长杆不同规格2件，1/2"绝缘延长杆不同规格2件，3/8"双色柄绝缘双向棘轮扳手、1/2"双色柄绝缘双向棘轮扳手、1/"绝缘T型套筒扳手各1个。</w:t>
            </w:r>
          </w:p>
        </w:tc>
        <w:tc>
          <w:tcPr>
            <w:tcW w:w="357" w:type="pct"/>
            <w:tcBorders>
              <w:bottom w:val="single" w:color="auto" w:sz="4" w:space="0"/>
            </w:tcBorders>
            <w:vAlign w:val="center"/>
          </w:tcPr>
          <w:p w14:paraId="5C13E3E9">
            <w:pPr>
              <w:jc w:val="center"/>
              <w:rPr>
                <w:rFonts w:hint="eastAsia" w:ascii="宋体" w:hAnsi="宋体" w:cs="宋体"/>
                <w:szCs w:val="21"/>
              </w:rPr>
            </w:pPr>
            <w:r>
              <w:rPr>
                <w:rFonts w:hint="eastAsia" w:ascii="宋体" w:hAnsi="宋体" w:cs="宋体"/>
                <w:szCs w:val="21"/>
              </w:rPr>
              <w:t>4</w:t>
            </w:r>
          </w:p>
        </w:tc>
        <w:tc>
          <w:tcPr>
            <w:tcW w:w="341" w:type="pct"/>
            <w:tcBorders>
              <w:bottom w:val="single" w:color="auto" w:sz="4" w:space="0"/>
            </w:tcBorders>
            <w:vAlign w:val="center"/>
          </w:tcPr>
          <w:p w14:paraId="021B4A06">
            <w:pPr>
              <w:jc w:val="center"/>
              <w:rPr>
                <w:rFonts w:hint="eastAsia" w:ascii="宋体" w:hAnsi="宋体" w:cs="宋体"/>
                <w:szCs w:val="21"/>
              </w:rPr>
            </w:pPr>
          </w:p>
          <w:p w14:paraId="6BF37CA1">
            <w:pPr>
              <w:jc w:val="center"/>
              <w:rPr>
                <w:rFonts w:hint="eastAsia" w:ascii="宋体" w:hAnsi="宋体" w:cs="宋体"/>
                <w:szCs w:val="21"/>
              </w:rPr>
            </w:pPr>
          </w:p>
          <w:p w14:paraId="77010C05">
            <w:pPr>
              <w:jc w:val="center"/>
              <w:rPr>
                <w:rFonts w:hint="eastAsia" w:ascii="宋体" w:hAnsi="宋体" w:cs="宋体"/>
                <w:szCs w:val="21"/>
              </w:rPr>
            </w:pPr>
            <w:r>
              <w:rPr>
                <w:rFonts w:hint="eastAsia" w:ascii="宋体" w:hAnsi="宋体" w:cs="宋体"/>
                <w:szCs w:val="21"/>
              </w:rPr>
              <w:t>套</w:t>
            </w:r>
          </w:p>
          <w:p w14:paraId="7E37235C">
            <w:pPr>
              <w:jc w:val="center"/>
              <w:rPr>
                <w:rFonts w:hint="eastAsia" w:ascii="宋体" w:hAnsi="宋体" w:cs="宋体"/>
                <w:szCs w:val="21"/>
              </w:rPr>
            </w:pPr>
          </w:p>
          <w:p w14:paraId="245470E4">
            <w:pPr>
              <w:jc w:val="center"/>
              <w:rPr>
                <w:rFonts w:hint="eastAsia" w:ascii="宋体" w:hAnsi="宋体" w:cs="宋体"/>
                <w:szCs w:val="21"/>
              </w:rPr>
            </w:pPr>
          </w:p>
        </w:tc>
      </w:tr>
    </w:tbl>
    <w:p w14:paraId="659FE257">
      <w:pPr>
        <w:pStyle w:val="2"/>
        <w:rPr>
          <w:sz w:val="32"/>
          <w:szCs w:val="32"/>
          <w:lang w:val="zh-CN"/>
        </w:rPr>
      </w:pPr>
      <w:bookmarkStart w:id="27" w:name="_Toc16637"/>
      <w:r>
        <w:rPr>
          <w:rFonts w:hint="eastAsia"/>
          <w:sz w:val="32"/>
          <w:szCs w:val="32"/>
          <w:lang w:val="zh-CN"/>
        </w:rPr>
        <w:t>第</w:t>
      </w:r>
      <w:r>
        <w:rPr>
          <w:rFonts w:hint="eastAsia"/>
          <w:sz w:val="32"/>
          <w:szCs w:val="32"/>
        </w:rPr>
        <w:t>六</w:t>
      </w:r>
      <w:r>
        <w:rPr>
          <w:rFonts w:hint="eastAsia"/>
          <w:sz w:val="32"/>
          <w:szCs w:val="32"/>
          <w:lang w:val="zh-CN"/>
        </w:rPr>
        <w:t>章  投标文件构成、要求及格式</w:t>
      </w:r>
      <w:bookmarkEnd w:id="26"/>
      <w:bookmarkEnd w:id="27"/>
    </w:p>
    <w:p w14:paraId="41BB0F0E">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特别声明:</w:t>
      </w:r>
    </w:p>
    <w:p w14:paraId="403D51B2">
      <w:pPr>
        <w:tabs>
          <w:tab w:val="left" w:pos="709"/>
        </w:tabs>
        <w:autoSpaceDE w:val="0"/>
        <w:autoSpaceDN w:val="0"/>
        <w:adjustRightInd w:val="0"/>
        <w:spacing w:line="360"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lang w:val="zh-CN"/>
        </w:rPr>
        <w:t>1、投标人必须按照招标文件的规定提交所要求提交的投标文件，若有缺失、无效或者不符合招标文件要求，将导致其投标被拒绝。</w:t>
      </w:r>
    </w:p>
    <w:p w14:paraId="0B73E9B1">
      <w:pPr>
        <w:autoSpaceDE w:val="0"/>
        <w:autoSpaceDN w:val="0"/>
        <w:adjustRightInd w:val="0"/>
        <w:spacing w:line="360" w:lineRule="auto"/>
        <w:ind w:firstLine="482"/>
        <w:rPr>
          <w:rFonts w:hint="eastAsia" w:ascii="宋体" w:hAnsi="宋体" w:cs="宋体"/>
          <w:bCs/>
          <w:color w:val="000000"/>
          <w:sz w:val="24"/>
          <w:szCs w:val="24"/>
          <w:lang w:val="zh-CN"/>
        </w:rPr>
      </w:pPr>
      <w:r>
        <w:rPr>
          <w:rFonts w:hint="eastAsia" w:ascii="宋体" w:hAnsi="宋体" w:cs="宋体"/>
          <w:bCs/>
          <w:color w:val="000000"/>
          <w:sz w:val="24"/>
          <w:szCs w:val="24"/>
        </w:rPr>
        <w:t>2</w:t>
      </w:r>
      <w:r>
        <w:rPr>
          <w:rFonts w:hint="eastAsia" w:ascii="宋体" w:hAnsi="宋体" w:cs="宋体"/>
          <w:bCs/>
          <w:color w:val="000000"/>
          <w:sz w:val="24"/>
          <w:szCs w:val="24"/>
          <w:lang w:val="zh-CN"/>
        </w:rPr>
        <w:t>、如果要求提交的资格证明文件需要进行年检，但在投标时因当地有关管理部门尚未开展年检工作，使投标人不能提交经年检的资格文件，投标人应提交当地相关管理机关出具的有效证明文件。</w:t>
      </w:r>
    </w:p>
    <w:p w14:paraId="78D8DE79">
      <w:pPr>
        <w:autoSpaceDE w:val="0"/>
        <w:autoSpaceDN w:val="0"/>
        <w:adjustRightInd w:val="0"/>
        <w:spacing w:line="360" w:lineRule="auto"/>
        <w:ind w:firstLine="480"/>
        <w:rPr>
          <w:rFonts w:hint="eastAsia" w:ascii="宋体" w:hAnsi="宋体" w:cs="宋体"/>
          <w:bCs/>
          <w:color w:val="000000"/>
          <w:sz w:val="24"/>
          <w:szCs w:val="24"/>
          <w:lang w:val="zh-CN"/>
        </w:rPr>
      </w:pPr>
      <w:r>
        <w:rPr>
          <w:rFonts w:hint="eastAsia" w:ascii="宋体" w:hAnsi="宋体" w:cs="宋体"/>
          <w:bCs/>
          <w:color w:val="000000"/>
          <w:sz w:val="24"/>
          <w:szCs w:val="24"/>
        </w:rPr>
        <w:t>3</w:t>
      </w:r>
      <w:r>
        <w:rPr>
          <w:rFonts w:hint="eastAsia" w:ascii="宋体" w:hAnsi="宋体" w:cs="宋体"/>
          <w:bCs/>
          <w:color w:val="000000"/>
          <w:sz w:val="24"/>
          <w:szCs w:val="24"/>
          <w:lang w:val="zh-CN"/>
        </w:rPr>
        <w:t>、如果投标人受地域限制不能提供招标文件要求的有关文件的原件，应提供当地公证机关出具的公证书。</w:t>
      </w:r>
    </w:p>
    <w:p w14:paraId="32DBCA7C">
      <w:pPr>
        <w:tabs>
          <w:tab w:val="left" w:pos="709"/>
        </w:tabs>
        <w:autoSpaceDE w:val="0"/>
        <w:autoSpaceDN w:val="0"/>
        <w:adjustRightInd w:val="0"/>
        <w:spacing w:line="360" w:lineRule="auto"/>
        <w:ind w:firstLine="480" w:firstLineChars="200"/>
        <w:rPr>
          <w:rFonts w:hint="eastAsia" w:ascii="宋体" w:hAnsi="宋体" w:cs="宋体"/>
          <w:bCs/>
          <w:color w:val="000000"/>
          <w:sz w:val="24"/>
          <w:szCs w:val="24"/>
          <w:lang w:val="zh-CN"/>
        </w:rPr>
      </w:pPr>
      <w:r>
        <w:rPr>
          <w:rFonts w:hint="eastAsia" w:ascii="宋体" w:hAnsi="宋体" w:cs="宋体"/>
          <w:bCs/>
          <w:color w:val="000000"/>
          <w:sz w:val="24"/>
          <w:szCs w:val="24"/>
        </w:rPr>
        <w:t>4</w:t>
      </w:r>
      <w:r>
        <w:rPr>
          <w:rFonts w:hint="eastAsia" w:ascii="宋体" w:hAnsi="宋体" w:cs="宋体"/>
          <w:bCs/>
          <w:color w:val="000000"/>
          <w:sz w:val="24"/>
          <w:szCs w:val="24"/>
          <w:lang w:val="zh-CN"/>
        </w:rPr>
        <w:t>、投标人提交的全部文件均须按招标文件的规定有效签署和加盖公章。</w:t>
      </w:r>
    </w:p>
    <w:p w14:paraId="34F3BAB5">
      <w:pPr>
        <w:tabs>
          <w:tab w:val="left" w:pos="709"/>
        </w:tabs>
        <w:autoSpaceDE w:val="0"/>
        <w:autoSpaceDN w:val="0"/>
        <w:adjustRightInd w:val="0"/>
        <w:spacing w:line="360" w:lineRule="auto"/>
        <w:ind w:firstLine="482" w:firstLineChars="200"/>
        <w:rPr>
          <w:rFonts w:hint="eastAsia" w:ascii="宋体" w:hAnsi="宋体" w:cs="宋体"/>
          <w:bCs/>
          <w:color w:val="000000"/>
          <w:sz w:val="24"/>
          <w:szCs w:val="24"/>
          <w:lang w:val="zh-CN"/>
        </w:rPr>
      </w:pPr>
      <w:r>
        <w:rPr>
          <w:rFonts w:hint="eastAsia" w:ascii="宋体" w:hAnsi="宋体" w:cs="宋体"/>
          <w:b/>
          <w:bCs/>
          <w:color w:val="000000"/>
          <w:sz w:val="24"/>
          <w:szCs w:val="24"/>
        </w:rPr>
        <w:t>5</w:t>
      </w:r>
      <w:r>
        <w:rPr>
          <w:rFonts w:hint="eastAsia" w:ascii="宋体" w:hAnsi="宋体" w:cs="宋体"/>
          <w:b/>
          <w:bCs/>
          <w:color w:val="000000"/>
          <w:sz w:val="24"/>
          <w:szCs w:val="24"/>
          <w:lang w:val="zh-CN"/>
        </w:rPr>
        <w:t>、投标人应编制投标文件目录。</w:t>
      </w:r>
      <w:r>
        <w:rPr>
          <w:rFonts w:hint="eastAsia" w:ascii="宋体" w:hAnsi="宋体" w:cs="宋体"/>
          <w:bCs/>
          <w:color w:val="000000"/>
          <w:sz w:val="24"/>
          <w:szCs w:val="24"/>
          <w:lang w:val="zh-CN"/>
        </w:rPr>
        <w:t>按照《投标文件构成、要求及格式》所要求提交的资格审查文件部分、商务</w:t>
      </w:r>
      <w:r>
        <w:rPr>
          <w:rFonts w:hint="eastAsia" w:ascii="宋体" w:hAnsi="宋体" w:cs="宋体"/>
          <w:bCs/>
          <w:color w:val="000000"/>
          <w:sz w:val="24"/>
          <w:szCs w:val="24"/>
        </w:rPr>
        <w:t>和</w:t>
      </w:r>
      <w:r>
        <w:rPr>
          <w:rFonts w:hint="eastAsia" w:ascii="宋体" w:hAnsi="宋体" w:cs="宋体"/>
          <w:bCs/>
          <w:color w:val="000000"/>
          <w:sz w:val="24"/>
          <w:szCs w:val="24"/>
          <w:lang w:val="zh-CN"/>
        </w:rPr>
        <w:t>技术部分、作为评分依据的其他文件材料的具体排列顺序相对应地编制投标文件目录。</w:t>
      </w:r>
    </w:p>
    <w:p w14:paraId="054E8C6C">
      <w:pPr>
        <w:autoSpaceDE w:val="0"/>
        <w:autoSpaceDN w:val="0"/>
        <w:adjustRightInd w:val="0"/>
        <w:jc w:val="center"/>
        <w:rPr>
          <w:rFonts w:hint="eastAsia" w:ascii="宋体" w:hAnsi="宋体" w:cs="宋体"/>
          <w:bCs/>
          <w:color w:val="000000"/>
          <w:szCs w:val="21"/>
          <w:lang w:val="zh-CN"/>
        </w:rPr>
      </w:pPr>
    </w:p>
    <w:p w14:paraId="316DB678">
      <w:pPr>
        <w:autoSpaceDE w:val="0"/>
        <w:autoSpaceDN w:val="0"/>
        <w:adjustRightInd w:val="0"/>
        <w:jc w:val="center"/>
        <w:rPr>
          <w:rFonts w:hint="eastAsia" w:ascii="宋体" w:hAnsi="宋体" w:cs="宋体"/>
          <w:bCs/>
          <w:color w:val="000000"/>
          <w:szCs w:val="21"/>
          <w:lang w:val="zh-CN"/>
        </w:rPr>
      </w:pPr>
    </w:p>
    <w:p w14:paraId="58FDEC04">
      <w:pPr>
        <w:autoSpaceDE w:val="0"/>
        <w:autoSpaceDN w:val="0"/>
        <w:adjustRightInd w:val="0"/>
        <w:jc w:val="center"/>
        <w:rPr>
          <w:rFonts w:hint="eastAsia" w:ascii="宋体" w:hAnsi="宋体" w:cs="宋体"/>
          <w:bCs/>
          <w:color w:val="000000"/>
          <w:szCs w:val="21"/>
          <w:lang w:val="zh-CN"/>
        </w:rPr>
      </w:pPr>
    </w:p>
    <w:p w14:paraId="205427CD">
      <w:pPr>
        <w:autoSpaceDE w:val="0"/>
        <w:autoSpaceDN w:val="0"/>
        <w:adjustRightInd w:val="0"/>
        <w:jc w:val="center"/>
        <w:rPr>
          <w:rFonts w:hint="eastAsia" w:ascii="宋体" w:hAnsi="宋体" w:cs="宋体"/>
          <w:bCs/>
          <w:color w:val="000000"/>
          <w:szCs w:val="21"/>
          <w:lang w:val="zh-CN"/>
        </w:rPr>
      </w:pPr>
    </w:p>
    <w:p w14:paraId="5787AED9">
      <w:pPr>
        <w:autoSpaceDE w:val="0"/>
        <w:autoSpaceDN w:val="0"/>
        <w:adjustRightInd w:val="0"/>
        <w:jc w:val="center"/>
        <w:rPr>
          <w:rFonts w:hint="eastAsia" w:ascii="宋体" w:hAnsi="宋体" w:cs="宋体"/>
          <w:bCs/>
          <w:color w:val="000000"/>
          <w:szCs w:val="21"/>
          <w:lang w:val="zh-CN"/>
        </w:rPr>
      </w:pPr>
    </w:p>
    <w:p w14:paraId="0B4BB0B3">
      <w:pPr>
        <w:autoSpaceDE w:val="0"/>
        <w:autoSpaceDN w:val="0"/>
        <w:adjustRightInd w:val="0"/>
        <w:jc w:val="center"/>
        <w:rPr>
          <w:rFonts w:hint="eastAsia" w:ascii="宋体" w:hAnsi="宋体" w:cs="宋体"/>
          <w:bCs/>
          <w:color w:val="000000"/>
          <w:szCs w:val="21"/>
          <w:lang w:val="zh-CN"/>
        </w:rPr>
      </w:pPr>
    </w:p>
    <w:p w14:paraId="71C66BC9">
      <w:pPr>
        <w:autoSpaceDE w:val="0"/>
        <w:autoSpaceDN w:val="0"/>
        <w:adjustRightInd w:val="0"/>
        <w:jc w:val="center"/>
        <w:rPr>
          <w:rFonts w:hint="eastAsia" w:ascii="宋体" w:hAnsi="宋体" w:cs="宋体"/>
          <w:bCs/>
          <w:color w:val="000000"/>
          <w:szCs w:val="21"/>
          <w:lang w:val="zh-CN"/>
        </w:rPr>
      </w:pPr>
    </w:p>
    <w:p w14:paraId="6421F707">
      <w:pPr>
        <w:autoSpaceDE w:val="0"/>
        <w:autoSpaceDN w:val="0"/>
        <w:adjustRightInd w:val="0"/>
        <w:jc w:val="center"/>
        <w:rPr>
          <w:rFonts w:hint="eastAsia" w:ascii="宋体" w:hAnsi="宋体" w:cs="宋体"/>
          <w:bCs/>
          <w:color w:val="000000"/>
          <w:szCs w:val="21"/>
          <w:lang w:val="zh-CN"/>
        </w:rPr>
      </w:pPr>
    </w:p>
    <w:p w14:paraId="060EAEDF">
      <w:pPr>
        <w:autoSpaceDE w:val="0"/>
        <w:autoSpaceDN w:val="0"/>
        <w:adjustRightInd w:val="0"/>
        <w:jc w:val="center"/>
        <w:rPr>
          <w:rFonts w:hint="eastAsia" w:ascii="宋体" w:hAnsi="宋体" w:cs="宋体"/>
          <w:bCs/>
          <w:color w:val="000000"/>
          <w:szCs w:val="21"/>
          <w:lang w:val="zh-CN"/>
        </w:rPr>
      </w:pPr>
    </w:p>
    <w:p w14:paraId="7C5766FE">
      <w:pPr>
        <w:autoSpaceDE w:val="0"/>
        <w:autoSpaceDN w:val="0"/>
        <w:adjustRightInd w:val="0"/>
        <w:jc w:val="center"/>
        <w:rPr>
          <w:rFonts w:hint="eastAsia" w:ascii="宋体" w:hAnsi="宋体" w:cs="宋体"/>
          <w:bCs/>
          <w:color w:val="000000"/>
          <w:szCs w:val="21"/>
          <w:lang w:val="zh-CN"/>
        </w:rPr>
      </w:pPr>
    </w:p>
    <w:p w14:paraId="40171124">
      <w:pPr>
        <w:autoSpaceDE w:val="0"/>
        <w:autoSpaceDN w:val="0"/>
        <w:adjustRightInd w:val="0"/>
        <w:rPr>
          <w:rFonts w:hint="eastAsia" w:ascii="宋体" w:hAnsi="宋体" w:cs="宋体"/>
          <w:bCs/>
          <w:color w:val="000000"/>
          <w:szCs w:val="21"/>
          <w:lang w:val="zh-CN"/>
        </w:rPr>
      </w:pPr>
    </w:p>
    <w:p w14:paraId="4FF95716">
      <w:pPr>
        <w:autoSpaceDE w:val="0"/>
        <w:autoSpaceDN w:val="0"/>
        <w:adjustRightInd w:val="0"/>
        <w:jc w:val="center"/>
        <w:rPr>
          <w:rFonts w:hint="eastAsia" w:ascii="宋体" w:hAnsi="宋体" w:cs="宋体"/>
          <w:b/>
          <w:bCs/>
          <w:color w:val="000000"/>
          <w:szCs w:val="21"/>
          <w:lang w:val="zh-CN"/>
        </w:rPr>
      </w:pPr>
      <w:r>
        <w:rPr>
          <w:rFonts w:hint="eastAsia" w:ascii="宋体" w:hAnsi="宋体" w:cs="宋体"/>
          <w:b/>
          <w:bCs/>
          <w:color w:val="000000"/>
          <w:szCs w:val="21"/>
          <w:lang w:val="zh-CN"/>
        </w:rPr>
        <w:br w:type="page"/>
      </w:r>
    </w:p>
    <w:p w14:paraId="2B8ECBFF">
      <w:pPr>
        <w:autoSpaceDE w:val="0"/>
        <w:autoSpaceDN w:val="0"/>
        <w:adjustRightInd w:val="0"/>
        <w:spacing w:line="600" w:lineRule="exact"/>
        <w:jc w:val="center"/>
        <w:rPr>
          <w:rFonts w:hint="eastAsia" w:ascii="宋体" w:hAnsi="宋体" w:cs="宋体"/>
          <w:sz w:val="36"/>
          <w:szCs w:val="18"/>
          <w:u w:val="single"/>
        </w:rPr>
      </w:pPr>
      <w:r>
        <w:rPr>
          <w:rFonts w:hint="eastAsia" w:ascii="宋体" w:hAnsi="宋体" w:cs="宋体"/>
          <w:sz w:val="36"/>
          <w:szCs w:val="18"/>
        </w:rPr>
        <w:t xml:space="preserve">                                          正本/副本</w:t>
      </w:r>
    </w:p>
    <w:p w14:paraId="2034C9C9">
      <w:pPr>
        <w:ind w:firstLine="1920" w:firstLineChars="600"/>
        <w:jc w:val="left"/>
        <w:rPr>
          <w:sz w:val="32"/>
          <w:szCs w:val="32"/>
          <w:u w:val="single"/>
        </w:rPr>
      </w:pPr>
    </w:p>
    <w:p w14:paraId="242DD6D3">
      <w:pPr>
        <w:ind w:firstLine="1920" w:firstLineChars="600"/>
        <w:jc w:val="left"/>
        <w:rPr>
          <w:sz w:val="32"/>
          <w:szCs w:val="32"/>
          <w:u w:val="single"/>
        </w:rPr>
      </w:pPr>
    </w:p>
    <w:p w14:paraId="0D9715FA">
      <w:pPr>
        <w:jc w:val="center"/>
        <w:rPr>
          <w:sz w:val="32"/>
          <w:szCs w:val="32"/>
          <w:u w:val="single"/>
        </w:rPr>
      </w:pPr>
      <w:r>
        <w:rPr>
          <w:sz w:val="32"/>
          <w:szCs w:val="32"/>
          <w:u w:val="single"/>
        </w:rPr>
        <w:t>（项目名称）</w:t>
      </w:r>
    </w:p>
    <w:p w14:paraId="7832C992">
      <w:pPr>
        <w:autoSpaceDE w:val="0"/>
        <w:autoSpaceDN w:val="0"/>
        <w:adjustRightInd w:val="0"/>
        <w:spacing w:line="600" w:lineRule="exact"/>
        <w:jc w:val="center"/>
        <w:rPr>
          <w:rFonts w:hint="eastAsia" w:ascii="宋体" w:hAnsi="宋体" w:cs="宋体"/>
          <w:sz w:val="36"/>
          <w:szCs w:val="18"/>
          <w:lang w:val="zh-CN"/>
        </w:rPr>
      </w:pPr>
    </w:p>
    <w:p w14:paraId="4F6BD741">
      <w:pPr>
        <w:pStyle w:val="38"/>
        <w:rPr>
          <w:lang w:val="zh-CN"/>
        </w:rPr>
      </w:pPr>
    </w:p>
    <w:p w14:paraId="772DC422">
      <w:pPr>
        <w:autoSpaceDE w:val="0"/>
        <w:autoSpaceDN w:val="0"/>
        <w:adjustRightInd w:val="0"/>
        <w:spacing w:line="600" w:lineRule="exact"/>
        <w:rPr>
          <w:rFonts w:hint="eastAsia" w:ascii="宋体" w:hAnsi="宋体" w:cs="宋体"/>
          <w:szCs w:val="18"/>
          <w:lang w:val="zh-CN"/>
        </w:rPr>
      </w:pPr>
    </w:p>
    <w:p w14:paraId="31CA3F4B">
      <w:pPr>
        <w:autoSpaceDE w:val="0"/>
        <w:autoSpaceDN w:val="0"/>
        <w:adjustRightInd w:val="0"/>
        <w:spacing w:line="600" w:lineRule="exact"/>
        <w:jc w:val="left"/>
        <w:rPr>
          <w:rFonts w:hint="eastAsia" w:ascii="宋体" w:hAnsi="宋体" w:cs="宋体"/>
          <w:szCs w:val="18"/>
          <w:lang w:val="zh-CN"/>
        </w:rPr>
      </w:pPr>
    </w:p>
    <w:p w14:paraId="36EAEC4D">
      <w:pPr>
        <w:autoSpaceDE w:val="0"/>
        <w:autoSpaceDN w:val="0"/>
        <w:adjustRightInd w:val="0"/>
        <w:spacing w:line="400" w:lineRule="exact"/>
        <w:jc w:val="left"/>
        <w:rPr>
          <w:rFonts w:hint="eastAsia" w:ascii="宋体" w:hAnsi="宋体" w:cs="宋体"/>
          <w:szCs w:val="18"/>
          <w:lang w:val="zh-CN"/>
        </w:rPr>
      </w:pPr>
    </w:p>
    <w:p w14:paraId="6D780775">
      <w:pPr>
        <w:autoSpaceDE w:val="0"/>
        <w:autoSpaceDN w:val="0"/>
        <w:adjustRightInd w:val="0"/>
        <w:jc w:val="center"/>
        <w:rPr>
          <w:rFonts w:hint="eastAsia" w:ascii="宋体" w:hAnsi="宋体" w:cs="宋体"/>
          <w:b/>
          <w:bCs/>
          <w:sz w:val="84"/>
          <w:szCs w:val="84"/>
          <w:lang w:val="zh-CN"/>
        </w:rPr>
      </w:pPr>
      <w:r>
        <w:rPr>
          <w:rFonts w:hint="eastAsia" w:ascii="宋体" w:hAnsi="宋体" w:cs="宋体"/>
          <w:b/>
          <w:bCs/>
          <w:sz w:val="84"/>
          <w:szCs w:val="84"/>
          <w:lang w:val="zh-CN"/>
        </w:rPr>
        <w:t>投</w:t>
      </w:r>
      <w:r>
        <w:rPr>
          <w:rFonts w:hint="eastAsia" w:ascii="宋体" w:hAnsi="宋体" w:cs="宋体"/>
          <w:b/>
          <w:bCs/>
          <w:sz w:val="84"/>
          <w:szCs w:val="84"/>
        </w:rPr>
        <w:t xml:space="preserve"> </w:t>
      </w:r>
      <w:r>
        <w:rPr>
          <w:rFonts w:hint="eastAsia" w:ascii="宋体" w:hAnsi="宋体" w:cs="宋体"/>
          <w:b/>
          <w:bCs/>
          <w:sz w:val="84"/>
          <w:szCs w:val="84"/>
          <w:lang w:val="zh-CN"/>
        </w:rPr>
        <w:t>标</w:t>
      </w:r>
      <w:r>
        <w:rPr>
          <w:rFonts w:hint="eastAsia" w:ascii="宋体" w:hAnsi="宋体" w:cs="宋体"/>
          <w:b/>
          <w:bCs/>
          <w:sz w:val="84"/>
          <w:szCs w:val="84"/>
        </w:rPr>
        <w:t xml:space="preserve"> </w:t>
      </w:r>
      <w:r>
        <w:rPr>
          <w:rFonts w:hint="eastAsia" w:ascii="宋体" w:hAnsi="宋体" w:cs="宋体"/>
          <w:b/>
          <w:bCs/>
          <w:sz w:val="84"/>
          <w:szCs w:val="84"/>
          <w:lang w:val="zh-CN"/>
        </w:rPr>
        <w:t>文</w:t>
      </w:r>
      <w:r>
        <w:rPr>
          <w:rFonts w:hint="eastAsia" w:ascii="宋体" w:hAnsi="宋体" w:cs="宋体"/>
          <w:b/>
          <w:bCs/>
          <w:sz w:val="84"/>
          <w:szCs w:val="84"/>
        </w:rPr>
        <w:t xml:space="preserve"> </w:t>
      </w:r>
      <w:r>
        <w:rPr>
          <w:rFonts w:hint="eastAsia" w:ascii="宋体" w:hAnsi="宋体" w:cs="宋体"/>
          <w:b/>
          <w:bCs/>
          <w:sz w:val="84"/>
          <w:szCs w:val="84"/>
          <w:lang w:val="zh-CN"/>
        </w:rPr>
        <w:t>件</w:t>
      </w:r>
    </w:p>
    <w:p w14:paraId="30C30A44">
      <w:pPr>
        <w:autoSpaceDE w:val="0"/>
        <w:autoSpaceDN w:val="0"/>
        <w:adjustRightInd w:val="0"/>
        <w:spacing w:line="400" w:lineRule="exact"/>
        <w:jc w:val="left"/>
        <w:rPr>
          <w:rFonts w:hint="eastAsia" w:ascii="宋体" w:hAnsi="宋体" w:cs="宋体"/>
          <w:szCs w:val="18"/>
          <w:lang w:val="zh-CN"/>
        </w:rPr>
      </w:pPr>
    </w:p>
    <w:p w14:paraId="456DA8CC">
      <w:pPr>
        <w:autoSpaceDE w:val="0"/>
        <w:autoSpaceDN w:val="0"/>
        <w:adjustRightInd w:val="0"/>
        <w:spacing w:line="400" w:lineRule="exact"/>
        <w:ind w:firstLine="3200" w:firstLineChars="1000"/>
        <w:rPr>
          <w:rFonts w:hint="eastAsia" w:ascii="宋体" w:hAnsi="宋体" w:cs="宋体"/>
          <w:szCs w:val="18"/>
          <w:u w:val="single"/>
        </w:rPr>
      </w:pPr>
      <w:r>
        <w:rPr>
          <w:rFonts w:hint="eastAsia"/>
          <w:sz w:val="32"/>
          <w:szCs w:val="32"/>
        </w:rPr>
        <w:t>项目编号：</w:t>
      </w:r>
      <w:r>
        <w:rPr>
          <w:rFonts w:hint="eastAsia"/>
          <w:sz w:val="32"/>
          <w:szCs w:val="32"/>
          <w:u w:val="single"/>
        </w:rPr>
        <w:t xml:space="preserve">               </w:t>
      </w:r>
    </w:p>
    <w:p w14:paraId="1AF168A3">
      <w:pPr>
        <w:autoSpaceDE w:val="0"/>
        <w:autoSpaceDN w:val="0"/>
        <w:adjustRightInd w:val="0"/>
        <w:spacing w:line="400" w:lineRule="exact"/>
        <w:jc w:val="left"/>
        <w:rPr>
          <w:rFonts w:hint="eastAsia" w:ascii="宋体" w:hAnsi="宋体" w:cs="宋体"/>
          <w:szCs w:val="18"/>
          <w:lang w:val="zh-CN"/>
        </w:rPr>
      </w:pPr>
    </w:p>
    <w:p w14:paraId="3A47F67A">
      <w:pPr>
        <w:autoSpaceDE w:val="0"/>
        <w:autoSpaceDN w:val="0"/>
        <w:adjustRightInd w:val="0"/>
        <w:spacing w:line="400" w:lineRule="exact"/>
        <w:jc w:val="left"/>
        <w:rPr>
          <w:rFonts w:hint="eastAsia" w:ascii="宋体" w:hAnsi="宋体" w:cs="宋体"/>
          <w:szCs w:val="18"/>
          <w:lang w:val="zh-CN"/>
        </w:rPr>
      </w:pPr>
    </w:p>
    <w:p w14:paraId="75C7882C">
      <w:pPr>
        <w:autoSpaceDE w:val="0"/>
        <w:autoSpaceDN w:val="0"/>
        <w:adjustRightInd w:val="0"/>
        <w:spacing w:line="400" w:lineRule="exact"/>
        <w:jc w:val="left"/>
        <w:rPr>
          <w:rFonts w:hint="eastAsia" w:ascii="宋体" w:hAnsi="宋体" w:cs="宋体"/>
          <w:szCs w:val="18"/>
          <w:lang w:val="zh-CN"/>
        </w:rPr>
      </w:pPr>
    </w:p>
    <w:p w14:paraId="02C008BC">
      <w:pPr>
        <w:pStyle w:val="14"/>
        <w:rPr>
          <w:rFonts w:hint="eastAsia" w:ascii="宋体" w:hAnsi="宋体" w:cs="宋体"/>
        </w:rPr>
      </w:pPr>
    </w:p>
    <w:p w14:paraId="1C1BB472">
      <w:pPr>
        <w:autoSpaceDE w:val="0"/>
        <w:autoSpaceDN w:val="0"/>
        <w:adjustRightInd w:val="0"/>
        <w:spacing w:line="400" w:lineRule="exact"/>
        <w:jc w:val="left"/>
        <w:rPr>
          <w:rFonts w:hint="eastAsia" w:ascii="宋体" w:hAnsi="宋体" w:cs="宋体"/>
          <w:szCs w:val="18"/>
          <w:lang w:val="zh-CN"/>
        </w:rPr>
      </w:pPr>
    </w:p>
    <w:p w14:paraId="6DE629F8">
      <w:pPr>
        <w:autoSpaceDE w:val="0"/>
        <w:autoSpaceDN w:val="0"/>
        <w:adjustRightInd w:val="0"/>
        <w:spacing w:line="400" w:lineRule="exact"/>
        <w:jc w:val="left"/>
        <w:rPr>
          <w:rFonts w:hint="eastAsia" w:ascii="宋体" w:hAnsi="宋体" w:cs="宋体"/>
          <w:szCs w:val="18"/>
          <w:lang w:val="zh-CN"/>
        </w:rPr>
      </w:pPr>
    </w:p>
    <w:p w14:paraId="31E4F48C">
      <w:pPr>
        <w:autoSpaceDE w:val="0"/>
        <w:autoSpaceDN w:val="0"/>
        <w:adjustRightInd w:val="0"/>
        <w:spacing w:line="400" w:lineRule="exact"/>
        <w:jc w:val="left"/>
        <w:rPr>
          <w:rFonts w:hint="eastAsia" w:ascii="宋体" w:hAnsi="宋体" w:cs="宋体"/>
          <w:szCs w:val="18"/>
          <w:lang w:val="zh-CN"/>
        </w:rPr>
      </w:pPr>
    </w:p>
    <w:p w14:paraId="3786769A">
      <w:pPr>
        <w:pStyle w:val="38"/>
        <w:rPr>
          <w:rFonts w:hint="eastAsia" w:ascii="宋体" w:hAnsi="宋体" w:cs="宋体"/>
          <w:szCs w:val="18"/>
          <w:lang w:val="zh-CN"/>
        </w:rPr>
      </w:pPr>
    </w:p>
    <w:p w14:paraId="3C80C052">
      <w:pPr>
        <w:pStyle w:val="38"/>
        <w:rPr>
          <w:rFonts w:hint="eastAsia" w:ascii="宋体" w:hAnsi="宋体" w:cs="宋体"/>
          <w:szCs w:val="18"/>
          <w:lang w:val="zh-CN"/>
        </w:rPr>
      </w:pPr>
    </w:p>
    <w:p w14:paraId="325EE37B">
      <w:pPr>
        <w:autoSpaceDE w:val="0"/>
        <w:autoSpaceDN w:val="0"/>
        <w:adjustRightInd w:val="0"/>
        <w:spacing w:line="400" w:lineRule="exact"/>
        <w:jc w:val="center"/>
        <w:rPr>
          <w:rFonts w:hint="eastAsia" w:ascii="宋体" w:hAnsi="宋体" w:cs="宋体"/>
          <w:sz w:val="28"/>
          <w:szCs w:val="18"/>
        </w:rPr>
      </w:pPr>
      <w:r>
        <w:rPr>
          <w:rFonts w:hint="eastAsia" w:ascii="宋体" w:hAnsi="宋体" w:cs="宋体"/>
          <w:sz w:val="28"/>
          <w:szCs w:val="18"/>
        </w:rPr>
        <w:t xml:space="preserve">   </w:t>
      </w:r>
    </w:p>
    <w:p w14:paraId="7D49A96A">
      <w:pPr>
        <w:autoSpaceDE w:val="0"/>
        <w:autoSpaceDN w:val="0"/>
        <w:adjustRightInd w:val="0"/>
        <w:spacing w:line="400" w:lineRule="exact"/>
        <w:jc w:val="center"/>
        <w:rPr>
          <w:rFonts w:hint="eastAsia" w:ascii="宋体" w:hAnsi="宋体" w:cs="宋体"/>
          <w:sz w:val="28"/>
          <w:szCs w:val="18"/>
        </w:rPr>
      </w:pPr>
    </w:p>
    <w:p w14:paraId="0DF54F82">
      <w:pPr>
        <w:autoSpaceDE w:val="0"/>
        <w:autoSpaceDN w:val="0"/>
        <w:adjustRightInd w:val="0"/>
        <w:spacing w:line="400" w:lineRule="exact"/>
        <w:jc w:val="center"/>
        <w:rPr>
          <w:rFonts w:hint="eastAsia" w:ascii="宋体" w:hAnsi="宋体" w:cs="宋体"/>
          <w:sz w:val="28"/>
          <w:szCs w:val="18"/>
          <w:lang w:val="zh-CN"/>
        </w:rPr>
      </w:pPr>
      <w:r>
        <w:rPr>
          <w:rFonts w:hint="eastAsia" w:ascii="宋体" w:hAnsi="宋体" w:cs="宋体"/>
          <w:sz w:val="28"/>
          <w:szCs w:val="18"/>
        </w:rPr>
        <w:t xml:space="preserve">   </w:t>
      </w:r>
      <w:r>
        <w:rPr>
          <w:rFonts w:hint="eastAsia" w:ascii="宋体" w:hAnsi="宋体" w:cs="宋体"/>
          <w:sz w:val="28"/>
          <w:szCs w:val="18"/>
          <w:lang w:val="zh-CN"/>
        </w:rPr>
        <w:t>投标人：</w:t>
      </w:r>
      <w:r>
        <w:rPr>
          <w:rFonts w:hint="eastAsia" w:ascii="宋体" w:hAnsi="宋体" w:cs="宋体"/>
          <w:sz w:val="28"/>
          <w:szCs w:val="18"/>
          <w:u w:val="single"/>
          <w:lang w:val="zh-CN"/>
        </w:rPr>
        <w:t xml:space="preserve">                      </w:t>
      </w:r>
      <w:r>
        <w:rPr>
          <w:rFonts w:hint="eastAsia" w:ascii="宋体" w:hAnsi="宋体" w:cs="宋体"/>
          <w:sz w:val="28"/>
          <w:szCs w:val="18"/>
          <w:lang w:val="zh-CN"/>
        </w:rPr>
        <w:t>(盖单位章)</w:t>
      </w:r>
    </w:p>
    <w:p w14:paraId="16F7D56B">
      <w:pPr>
        <w:autoSpaceDE w:val="0"/>
        <w:autoSpaceDN w:val="0"/>
        <w:adjustRightInd w:val="0"/>
        <w:spacing w:line="400" w:lineRule="exact"/>
        <w:jc w:val="center"/>
        <w:rPr>
          <w:rFonts w:hint="eastAsia" w:ascii="宋体" w:hAnsi="宋体" w:cs="宋体"/>
          <w:sz w:val="28"/>
          <w:szCs w:val="18"/>
          <w:lang w:val="zh-CN"/>
        </w:rPr>
      </w:pPr>
    </w:p>
    <w:p w14:paraId="3CC31D46">
      <w:pPr>
        <w:autoSpaceDE w:val="0"/>
        <w:autoSpaceDN w:val="0"/>
        <w:adjustRightInd w:val="0"/>
        <w:spacing w:line="400" w:lineRule="exact"/>
        <w:jc w:val="center"/>
        <w:rPr>
          <w:rFonts w:hint="eastAsia" w:ascii="宋体" w:hAnsi="宋体" w:cs="宋体"/>
          <w:sz w:val="28"/>
          <w:szCs w:val="18"/>
          <w:lang w:val="zh-CN"/>
        </w:rPr>
      </w:pPr>
      <w:r>
        <w:rPr>
          <w:rFonts w:hint="eastAsia" w:ascii="宋体" w:hAnsi="宋体" w:cs="宋体"/>
          <w:sz w:val="28"/>
          <w:szCs w:val="18"/>
        </w:rPr>
        <w:t xml:space="preserve">   </w:t>
      </w:r>
      <w:r>
        <w:rPr>
          <w:rFonts w:hint="eastAsia" w:ascii="宋体" w:hAnsi="宋体" w:cs="宋体"/>
          <w:sz w:val="28"/>
          <w:szCs w:val="18"/>
          <w:lang w:val="zh-CN"/>
        </w:rPr>
        <w:t>法定代表人或其委托代理人：</w:t>
      </w:r>
      <w:r>
        <w:rPr>
          <w:rFonts w:hint="eastAsia" w:ascii="宋体" w:hAnsi="宋体" w:cs="宋体"/>
          <w:sz w:val="28"/>
          <w:szCs w:val="18"/>
          <w:u w:val="single"/>
          <w:lang w:val="zh-CN"/>
        </w:rPr>
        <w:t xml:space="preserve">        </w:t>
      </w:r>
      <w:r>
        <w:rPr>
          <w:rFonts w:hint="eastAsia" w:ascii="宋体" w:hAnsi="宋体" w:cs="宋体"/>
          <w:sz w:val="28"/>
          <w:szCs w:val="18"/>
          <w:lang w:val="zh-CN"/>
        </w:rPr>
        <w:t>(签字)</w:t>
      </w:r>
    </w:p>
    <w:p w14:paraId="2446D123">
      <w:pPr>
        <w:autoSpaceDE w:val="0"/>
        <w:autoSpaceDN w:val="0"/>
        <w:adjustRightInd w:val="0"/>
        <w:spacing w:line="400" w:lineRule="exact"/>
        <w:ind w:firstLine="280" w:firstLineChars="100"/>
        <w:jc w:val="center"/>
        <w:rPr>
          <w:rFonts w:hint="eastAsia" w:ascii="宋体" w:hAnsi="宋体" w:cs="宋体"/>
          <w:sz w:val="28"/>
          <w:szCs w:val="18"/>
          <w:u w:val="single"/>
        </w:rPr>
      </w:pPr>
    </w:p>
    <w:p w14:paraId="4BD1E2DD">
      <w:pPr>
        <w:autoSpaceDE w:val="0"/>
        <w:autoSpaceDN w:val="0"/>
        <w:adjustRightInd w:val="0"/>
        <w:jc w:val="center"/>
        <w:rPr>
          <w:rFonts w:hint="eastAsia" w:ascii="宋体" w:hAnsi="宋体" w:cs="宋体"/>
          <w:b/>
          <w:bCs/>
          <w:color w:val="000000"/>
          <w:szCs w:val="21"/>
          <w:lang w:val="zh-CN"/>
        </w:rPr>
      </w:pPr>
      <w:r>
        <w:rPr>
          <w:rFonts w:hint="eastAsia" w:ascii="宋体" w:hAnsi="宋体" w:cs="宋体"/>
          <w:sz w:val="28"/>
          <w:szCs w:val="28"/>
          <w:u w:val="single"/>
          <w:lang w:val="zh-CN"/>
        </w:rPr>
        <w:t xml:space="preserve">       </w:t>
      </w:r>
      <w:r>
        <w:rPr>
          <w:rFonts w:hint="eastAsia" w:ascii="宋体" w:hAnsi="宋体" w:cs="宋体"/>
          <w:sz w:val="28"/>
          <w:szCs w:val="28"/>
          <w:lang w:val="zh-CN"/>
        </w:rPr>
        <w:t>年</w:t>
      </w:r>
      <w:r>
        <w:rPr>
          <w:rFonts w:hint="eastAsia" w:ascii="宋体" w:hAnsi="宋体" w:cs="宋体"/>
          <w:sz w:val="28"/>
          <w:szCs w:val="28"/>
          <w:u w:val="single"/>
          <w:lang w:val="zh-CN"/>
        </w:rPr>
        <w:t xml:space="preserve">       </w:t>
      </w:r>
      <w:r>
        <w:rPr>
          <w:rFonts w:hint="eastAsia" w:ascii="宋体" w:hAnsi="宋体" w:cs="宋体"/>
          <w:sz w:val="28"/>
          <w:szCs w:val="28"/>
          <w:lang w:val="zh-CN"/>
        </w:rPr>
        <w:t>月</w:t>
      </w:r>
      <w:r>
        <w:rPr>
          <w:rFonts w:hint="eastAsia" w:ascii="宋体" w:hAnsi="宋体" w:cs="宋体"/>
          <w:sz w:val="28"/>
          <w:szCs w:val="28"/>
          <w:u w:val="single"/>
          <w:lang w:val="zh-CN"/>
        </w:rPr>
        <w:t xml:space="preserve">       </w:t>
      </w:r>
      <w:r>
        <w:rPr>
          <w:rFonts w:hint="eastAsia" w:ascii="宋体" w:hAnsi="宋体" w:cs="宋体"/>
          <w:sz w:val="28"/>
          <w:szCs w:val="28"/>
          <w:lang w:val="zh-CN"/>
        </w:rPr>
        <w:t>日</w:t>
      </w:r>
      <w:r>
        <w:rPr>
          <w:rFonts w:hint="eastAsia" w:ascii="宋体" w:hAnsi="宋体" w:cs="宋体"/>
          <w:b/>
          <w:bCs/>
          <w:color w:val="000000"/>
          <w:szCs w:val="21"/>
          <w:lang w:val="zh-CN"/>
        </w:rPr>
        <w:br w:type="page"/>
      </w:r>
    </w:p>
    <w:p w14:paraId="4DF90623">
      <w:pPr>
        <w:spacing w:before="101" w:line="227" w:lineRule="auto"/>
        <w:ind w:left="2376"/>
        <w:outlineLvl w:val="1"/>
        <w:rPr>
          <w:rFonts w:hint="eastAsia" w:ascii="黑体" w:hAnsi="黑体" w:eastAsia="黑体" w:cs="黑体"/>
          <w:spacing w:val="10"/>
          <w:sz w:val="31"/>
          <w:szCs w:val="31"/>
          <w14:textOutline w14:w="5791" w14:cap="sq" w14:cmpd="sng" w14:algn="ctr">
            <w14:solidFill>
              <w14:srgbClr w14:val="000000"/>
            </w14:solidFill>
            <w14:prstDash w14:val="solid"/>
            <w14:bevel/>
          </w14:textOutline>
        </w:rPr>
      </w:pPr>
    </w:p>
    <w:p w14:paraId="656D3BFD">
      <w:pPr>
        <w:spacing w:before="101" w:line="227" w:lineRule="auto"/>
        <w:ind w:left="2376"/>
        <w:outlineLvl w:val="1"/>
        <w:rPr>
          <w:rFonts w:hint="eastAsia" w:ascii="黑体" w:hAnsi="黑体" w:eastAsia="黑体" w:cs="黑体"/>
          <w:spacing w:val="10"/>
          <w:sz w:val="31"/>
          <w:szCs w:val="31"/>
          <w14:textOutline w14:w="5791" w14:cap="sq" w14:cmpd="sng" w14:algn="ctr">
            <w14:solidFill>
              <w14:srgbClr w14:val="000000"/>
            </w14:solidFill>
            <w14:prstDash w14:val="solid"/>
            <w14:bevel/>
          </w14:textOutline>
        </w:rPr>
      </w:pPr>
    </w:p>
    <w:p w14:paraId="2AA3397F">
      <w:pPr>
        <w:spacing w:before="101" w:line="227" w:lineRule="auto"/>
        <w:ind w:left="2376"/>
        <w:outlineLvl w:val="1"/>
        <w:rPr>
          <w:rFonts w:hint="eastAsia" w:ascii="黑体" w:hAnsi="黑体" w:eastAsia="黑体" w:cs="黑体"/>
          <w:spacing w:val="10"/>
          <w:sz w:val="31"/>
          <w:szCs w:val="31"/>
          <w14:textOutline w14:w="5791" w14:cap="sq" w14:cmpd="sng" w14:algn="ctr">
            <w14:solidFill>
              <w14:srgbClr w14:val="000000"/>
            </w14:solidFill>
            <w14:prstDash w14:val="solid"/>
            <w14:bevel/>
          </w14:textOutline>
        </w:rPr>
      </w:pPr>
    </w:p>
    <w:p w14:paraId="52E175C8">
      <w:pPr>
        <w:spacing w:before="101" w:line="227" w:lineRule="auto"/>
        <w:jc w:val="center"/>
        <w:outlineLvl w:val="1"/>
        <w:rPr>
          <w:rFonts w:hint="eastAsia" w:ascii="黑体" w:hAnsi="黑体" w:eastAsia="黑体" w:cs="黑体"/>
          <w:spacing w:val="10"/>
          <w:sz w:val="31"/>
          <w:szCs w:val="31"/>
          <w14:textOutline w14:w="5791" w14:cap="sq" w14:cmpd="sng" w14:algn="ctr">
            <w14:solidFill>
              <w14:srgbClr w14:val="000000"/>
            </w14:solidFill>
            <w14:prstDash w14:val="solid"/>
            <w14:bevel/>
          </w14:textOutline>
        </w:rPr>
      </w:pPr>
    </w:p>
    <w:p w14:paraId="2E705FC9">
      <w:pPr>
        <w:spacing w:before="101" w:line="227" w:lineRule="auto"/>
        <w:jc w:val="center"/>
        <w:outlineLvl w:val="1"/>
        <w:rPr>
          <w:rFonts w:hint="eastAsia" w:ascii="黑体" w:hAnsi="黑体" w:eastAsia="黑体" w:cs="黑体"/>
          <w:spacing w:val="10"/>
          <w:sz w:val="31"/>
          <w:szCs w:val="31"/>
          <w14:textOutline w14:w="5791" w14:cap="sq" w14:cmpd="sng" w14:algn="ctr">
            <w14:solidFill>
              <w14:srgbClr w14:val="000000"/>
            </w14:solidFill>
            <w14:prstDash w14:val="solid"/>
            <w14:bevel/>
          </w14:textOutline>
        </w:rPr>
      </w:pPr>
    </w:p>
    <w:p w14:paraId="28176B9A">
      <w:pPr>
        <w:spacing w:before="101" w:line="227" w:lineRule="auto"/>
        <w:jc w:val="center"/>
        <w:outlineLvl w:val="1"/>
        <w:rPr>
          <w:rFonts w:hint="eastAsia" w:ascii="黑体" w:hAnsi="黑体" w:eastAsia="黑体" w:cs="黑体"/>
          <w:spacing w:val="10"/>
          <w:sz w:val="31"/>
          <w:szCs w:val="31"/>
          <w14:textOutline w14:w="5791" w14:cap="sq" w14:cmpd="sng" w14:algn="ctr">
            <w14:solidFill>
              <w14:srgbClr w14:val="000000"/>
            </w14:solidFill>
            <w14:prstDash w14:val="solid"/>
            <w14:bevel/>
          </w14:textOutline>
        </w:rPr>
      </w:pPr>
    </w:p>
    <w:p w14:paraId="2587B4A9">
      <w:pPr>
        <w:spacing w:before="101" w:line="227" w:lineRule="auto"/>
        <w:jc w:val="center"/>
        <w:outlineLvl w:val="1"/>
        <w:rPr>
          <w:rFonts w:hint="eastAsia" w:ascii="黑体" w:hAnsi="黑体" w:eastAsia="黑体" w:cs="黑体"/>
          <w:spacing w:val="10"/>
          <w:sz w:val="31"/>
          <w:szCs w:val="31"/>
          <w14:textOutline w14:w="5791" w14:cap="sq" w14:cmpd="sng" w14:algn="ctr">
            <w14:solidFill>
              <w14:srgbClr w14:val="000000"/>
            </w14:solidFill>
            <w14:prstDash w14:val="solid"/>
            <w14:bevel/>
          </w14:textOutline>
        </w:rPr>
      </w:pPr>
    </w:p>
    <w:p w14:paraId="622A7655">
      <w:pPr>
        <w:spacing w:before="101" w:line="227" w:lineRule="auto"/>
        <w:jc w:val="center"/>
        <w:outlineLvl w:val="1"/>
        <w:rPr>
          <w:rFonts w:hint="eastAsia" w:ascii="黑体" w:hAnsi="黑体" w:eastAsia="黑体" w:cs="黑体"/>
          <w:spacing w:val="10"/>
          <w:sz w:val="31"/>
          <w:szCs w:val="31"/>
          <w14:textOutline w14:w="5791" w14:cap="sq" w14:cmpd="sng" w14:algn="ctr">
            <w14:solidFill>
              <w14:srgbClr w14:val="000000"/>
            </w14:solidFill>
            <w14:prstDash w14:val="solid"/>
            <w14:bevel/>
          </w14:textOutline>
        </w:rPr>
      </w:pPr>
    </w:p>
    <w:p w14:paraId="120A8AE6">
      <w:pPr>
        <w:spacing w:before="101" w:line="227" w:lineRule="auto"/>
        <w:jc w:val="center"/>
        <w:outlineLvl w:val="1"/>
        <w:rPr>
          <w:rFonts w:hint="eastAsia" w:ascii="黑体" w:hAnsi="黑体" w:eastAsia="黑体" w:cs="黑体"/>
          <w:spacing w:val="10"/>
          <w:sz w:val="31"/>
          <w:szCs w:val="31"/>
          <w14:textOutline w14:w="5791" w14:cap="sq" w14:cmpd="sng" w14:algn="ctr">
            <w14:solidFill>
              <w14:srgbClr w14:val="000000"/>
            </w14:solidFill>
            <w14:prstDash w14:val="solid"/>
            <w14:bevel/>
          </w14:textOutline>
        </w:rPr>
      </w:pPr>
    </w:p>
    <w:p w14:paraId="397F623C">
      <w:pPr>
        <w:spacing w:before="101" w:line="227" w:lineRule="auto"/>
        <w:jc w:val="center"/>
        <w:outlineLvl w:val="1"/>
        <w:rPr>
          <w:rFonts w:hint="eastAsia" w:ascii="黑体" w:hAnsi="黑体" w:eastAsia="黑体" w:cs="黑体"/>
          <w:spacing w:val="10"/>
          <w:sz w:val="31"/>
          <w:szCs w:val="31"/>
          <w14:textOutline w14:w="5791" w14:cap="sq" w14:cmpd="sng" w14:algn="ctr">
            <w14:solidFill>
              <w14:srgbClr w14:val="000000"/>
            </w14:solidFill>
            <w14:prstDash w14:val="solid"/>
            <w14:bevel/>
          </w14:textOutline>
        </w:rPr>
      </w:pPr>
    </w:p>
    <w:p w14:paraId="66E878FA">
      <w:pPr>
        <w:spacing w:before="101" w:line="227" w:lineRule="auto"/>
        <w:jc w:val="center"/>
        <w:outlineLvl w:val="1"/>
        <w:rPr>
          <w:rFonts w:hint="eastAsia" w:ascii="黑体" w:hAnsi="黑体" w:eastAsia="黑体" w:cs="黑体"/>
          <w:spacing w:val="10"/>
          <w:sz w:val="31"/>
          <w:szCs w:val="31"/>
          <w14:textOutline w14:w="5791" w14:cap="sq" w14:cmpd="sng" w14:algn="ctr">
            <w14:solidFill>
              <w14:srgbClr w14:val="000000"/>
            </w14:solidFill>
            <w14:prstDash w14:val="solid"/>
            <w14:bevel/>
          </w14:textOutline>
        </w:rPr>
      </w:pPr>
    </w:p>
    <w:p w14:paraId="7F75FF36">
      <w:pPr>
        <w:spacing w:before="101" w:line="227" w:lineRule="auto"/>
        <w:jc w:val="center"/>
        <w:outlineLvl w:val="1"/>
        <w:rPr>
          <w:rFonts w:hint="eastAsia" w:ascii="黑体" w:hAnsi="黑体" w:eastAsia="黑体" w:cs="黑体"/>
          <w:sz w:val="32"/>
          <w:szCs w:val="32"/>
        </w:rPr>
      </w:pPr>
      <w:r>
        <w:rPr>
          <w:rFonts w:ascii="黑体" w:hAnsi="黑体" w:eastAsia="黑体" w:cs="黑体"/>
          <w:spacing w:val="10"/>
          <w:sz w:val="32"/>
          <w:szCs w:val="32"/>
          <w14:textOutline w14:w="5791" w14:cap="sq" w14:cmpd="sng" w14:algn="ctr">
            <w14:solidFill>
              <w14:srgbClr w14:val="000000"/>
            </w14:solidFill>
            <w14:prstDash w14:val="solid"/>
            <w14:bevel/>
          </w14:textOutline>
        </w:rPr>
        <w:t>第一部分、资格审查文件部分</w:t>
      </w:r>
    </w:p>
    <w:p w14:paraId="6CCCA623">
      <w:pPr>
        <w:autoSpaceDE w:val="0"/>
        <w:autoSpaceDN w:val="0"/>
        <w:adjustRightInd w:val="0"/>
        <w:jc w:val="center"/>
        <w:rPr>
          <w:rFonts w:hint="eastAsia" w:ascii="宋体" w:hAnsi="宋体" w:cs="宋体"/>
          <w:b/>
          <w:bCs/>
          <w:color w:val="000000"/>
          <w:sz w:val="28"/>
          <w:szCs w:val="28"/>
          <w:lang w:val="zh-CN"/>
        </w:rPr>
      </w:pPr>
    </w:p>
    <w:p w14:paraId="020E7FBC">
      <w:pPr>
        <w:autoSpaceDE w:val="0"/>
        <w:autoSpaceDN w:val="0"/>
        <w:adjustRightInd w:val="0"/>
        <w:jc w:val="center"/>
        <w:rPr>
          <w:rFonts w:hint="eastAsia" w:ascii="宋体" w:hAnsi="宋体" w:cs="宋体"/>
          <w:b/>
          <w:bCs/>
          <w:color w:val="000000"/>
          <w:sz w:val="28"/>
          <w:szCs w:val="28"/>
          <w:lang w:val="zh-CN"/>
        </w:rPr>
      </w:pPr>
    </w:p>
    <w:p w14:paraId="0146FBE2">
      <w:pPr>
        <w:autoSpaceDE w:val="0"/>
        <w:autoSpaceDN w:val="0"/>
        <w:adjustRightInd w:val="0"/>
        <w:jc w:val="center"/>
        <w:rPr>
          <w:rFonts w:hint="eastAsia" w:ascii="宋体" w:hAnsi="宋体" w:cs="宋体"/>
          <w:b/>
          <w:bCs/>
          <w:color w:val="000000"/>
          <w:sz w:val="28"/>
          <w:szCs w:val="28"/>
          <w:lang w:val="zh-CN"/>
        </w:rPr>
      </w:pPr>
    </w:p>
    <w:p w14:paraId="1B39C381">
      <w:pPr>
        <w:autoSpaceDE w:val="0"/>
        <w:autoSpaceDN w:val="0"/>
        <w:adjustRightInd w:val="0"/>
        <w:jc w:val="center"/>
        <w:rPr>
          <w:rFonts w:hint="eastAsia" w:ascii="宋体" w:hAnsi="宋体" w:cs="宋体"/>
          <w:b/>
          <w:bCs/>
          <w:color w:val="000000"/>
          <w:sz w:val="28"/>
          <w:szCs w:val="28"/>
          <w:lang w:val="zh-CN"/>
        </w:rPr>
      </w:pPr>
    </w:p>
    <w:p w14:paraId="120DF165">
      <w:pPr>
        <w:autoSpaceDE w:val="0"/>
        <w:autoSpaceDN w:val="0"/>
        <w:adjustRightInd w:val="0"/>
        <w:jc w:val="center"/>
        <w:rPr>
          <w:rFonts w:hint="eastAsia" w:ascii="宋体" w:hAnsi="宋体" w:cs="宋体"/>
          <w:b/>
          <w:bCs/>
          <w:color w:val="000000"/>
          <w:sz w:val="28"/>
          <w:szCs w:val="28"/>
          <w:lang w:val="zh-CN"/>
        </w:rPr>
      </w:pPr>
    </w:p>
    <w:p w14:paraId="3BF2659A">
      <w:pPr>
        <w:autoSpaceDE w:val="0"/>
        <w:autoSpaceDN w:val="0"/>
        <w:adjustRightInd w:val="0"/>
        <w:jc w:val="center"/>
        <w:rPr>
          <w:rFonts w:hint="eastAsia" w:ascii="宋体" w:hAnsi="宋体" w:cs="宋体"/>
          <w:b/>
          <w:bCs/>
          <w:color w:val="000000"/>
          <w:sz w:val="28"/>
          <w:szCs w:val="28"/>
          <w:lang w:val="zh-CN"/>
        </w:rPr>
      </w:pPr>
    </w:p>
    <w:p w14:paraId="5D30A617">
      <w:pPr>
        <w:autoSpaceDE w:val="0"/>
        <w:autoSpaceDN w:val="0"/>
        <w:adjustRightInd w:val="0"/>
        <w:jc w:val="center"/>
        <w:rPr>
          <w:rFonts w:hint="eastAsia" w:ascii="宋体" w:hAnsi="宋体" w:cs="宋体"/>
          <w:b/>
          <w:bCs/>
          <w:color w:val="000000"/>
          <w:sz w:val="28"/>
          <w:szCs w:val="28"/>
          <w:lang w:val="zh-CN"/>
        </w:rPr>
      </w:pPr>
    </w:p>
    <w:p w14:paraId="2E609A1F">
      <w:pPr>
        <w:autoSpaceDE w:val="0"/>
        <w:autoSpaceDN w:val="0"/>
        <w:adjustRightInd w:val="0"/>
        <w:jc w:val="center"/>
        <w:rPr>
          <w:rFonts w:hint="eastAsia" w:ascii="宋体" w:hAnsi="宋体" w:cs="宋体"/>
          <w:b/>
          <w:bCs/>
          <w:color w:val="000000"/>
          <w:sz w:val="28"/>
          <w:szCs w:val="28"/>
          <w:lang w:val="zh-CN"/>
        </w:rPr>
      </w:pPr>
    </w:p>
    <w:p w14:paraId="4B0561F7">
      <w:pPr>
        <w:autoSpaceDE w:val="0"/>
        <w:autoSpaceDN w:val="0"/>
        <w:adjustRightInd w:val="0"/>
        <w:jc w:val="center"/>
        <w:rPr>
          <w:rFonts w:hint="eastAsia" w:ascii="宋体" w:hAnsi="宋体" w:cs="宋体"/>
          <w:b/>
          <w:bCs/>
          <w:color w:val="000000"/>
          <w:sz w:val="28"/>
          <w:szCs w:val="28"/>
          <w:lang w:val="zh-CN"/>
        </w:rPr>
      </w:pPr>
    </w:p>
    <w:p w14:paraId="288C1E3E">
      <w:pPr>
        <w:autoSpaceDE w:val="0"/>
        <w:autoSpaceDN w:val="0"/>
        <w:adjustRightInd w:val="0"/>
        <w:jc w:val="center"/>
        <w:rPr>
          <w:rFonts w:hint="eastAsia" w:ascii="宋体" w:hAnsi="宋体" w:cs="宋体"/>
          <w:b/>
          <w:bCs/>
          <w:color w:val="000000"/>
          <w:sz w:val="28"/>
          <w:szCs w:val="28"/>
          <w:lang w:val="zh-CN"/>
        </w:rPr>
      </w:pPr>
    </w:p>
    <w:p w14:paraId="2270FE60">
      <w:pPr>
        <w:autoSpaceDE w:val="0"/>
        <w:autoSpaceDN w:val="0"/>
        <w:adjustRightInd w:val="0"/>
        <w:jc w:val="center"/>
        <w:rPr>
          <w:rFonts w:hint="eastAsia" w:ascii="宋体" w:hAnsi="宋体" w:cs="宋体"/>
          <w:b/>
          <w:bCs/>
          <w:color w:val="000000"/>
          <w:sz w:val="28"/>
          <w:szCs w:val="28"/>
          <w:lang w:val="zh-CN"/>
        </w:rPr>
      </w:pPr>
    </w:p>
    <w:p w14:paraId="63DB7826">
      <w:pPr>
        <w:autoSpaceDE w:val="0"/>
        <w:autoSpaceDN w:val="0"/>
        <w:adjustRightInd w:val="0"/>
        <w:jc w:val="center"/>
        <w:rPr>
          <w:rFonts w:hint="eastAsia" w:ascii="宋体" w:hAnsi="宋体" w:cs="宋体"/>
          <w:b/>
          <w:bCs/>
          <w:color w:val="000000"/>
          <w:sz w:val="28"/>
          <w:szCs w:val="28"/>
          <w:lang w:val="zh-CN"/>
        </w:rPr>
      </w:pPr>
    </w:p>
    <w:p w14:paraId="759D2A62">
      <w:pPr>
        <w:autoSpaceDE w:val="0"/>
        <w:autoSpaceDN w:val="0"/>
        <w:adjustRightInd w:val="0"/>
        <w:jc w:val="center"/>
        <w:rPr>
          <w:rFonts w:hint="eastAsia" w:ascii="宋体" w:hAnsi="宋体" w:cs="宋体"/>
          <w:b/>
          <w:bCs/>
          <w:color w:val="000000"/>
          <w:sz w:val="28"/>
          <w:szCs w:val="28"/>
          <w:lang w:val="zh-CN"/>
        </w:rPr>
      </w:pPr>
    </w:p>
    <w:p w14:paraId="296FF6FA">
      <w:pPr>
        <w:autoSpaceDE w:val="0"/>
        <w:autoSpaceDN w:val="0"/>
        <w:adjustRightInd w:val="0"/>
        <w:jc w:val="center"/>
        <w:rPr>
          <w:rFonts w:hint="eastAsia" w:ascii="宋体" w:hAnsi="宋体" w:cs="宋体"/>
          <w:b/>
          <w:bCs/>
          <w:color w:val="000000"/>
          <w:sz w:val="28"/>
          <w:szCs w:val="28"/>
          <w:lang w:val="zh-CN"/>
        </w:rPr>
      </w:pPr>
    </w:p>
    <w:p w14:paraId="47629496">
      <w:pPr>
        <w:autoSpaceDE w:val="0"/>
        <w:autoSpaceDN w:val="0"/>
        <w:adjustRightInd w:val="0"/>
        <w:jc w:val="center"/>
        <w:rPr>
          <w:rFonts w:hint="eastAsia" w:ascii="宋体" w:hAnsi="宋体" w:cs="宋体"/>
          <w:b/>
          <w:bCs/>
          <w:color w:val="000000"/>
          <w:sz w:val="28"/>
          <w:szCs w:val="28"/>
          <w:lang w:val="zh-CN"/>
        </w:rPr>
      </w:pPr>
    </w:p>
    <w:p w14:paraId="2BEB0813">
      <w:pPr>
        <w:autoSpaceDE w:val="0"/>
        <w:autoSpaceDN w:val="0"/>
        <w:adjustRightInd w:val="0"/>
        <w:jc w:val="center"/>
        <w:rPr>
          <w:rFonts w:hint="eastAsia" w:ascii="宋体" w:hAnsi="宋体" w:cs="宋体"/>
          <w:b/>
          <w:bCs/>
          <w:color w:val="000000"/>
          <w:sz w:val="28"/>
          <w:szCs w:val="28"/>
          <w:lang w:val="zh-CN"/>
        </w:rPr>
      </w:pPr>
    </w:p>
    <w:p w14:paraId="72A1829D">
      <w:pPr>
        <w:autoSpaceDE w:val="0"/>
        <w:autoSpaceDN w:val="0"/>
        <w:adjustRightInd w:val="0"/>
        <w:jc w:val="center"/>
        <w:rPr>
          <w:rFonts w:hint="eastAsia" w:ascii="宋体" w:hAnsi="宋体" w:cs="宋体"/>
          <w:b/>
          <w:bCs/>
          <w:color w:val="000000"/>
          <w:sz w:val="28"/>
          <w:szCs w:val="28"/>
          <w:lang w:val="zh-CN"/>
        </w:rPr>
      </w:pPr>
    </w:p>
    <w:p w14:paraId="391CA657">
      <w:pPr>
        <w:pStyle w:val="3"/>
        <w:rPr>
          <w:rFonts w:hint="eastAsia" w:ascii="宋体" w:hAnsi="宋体" w:cs="宋体"/>
          <w:color w:val="000000"/>
          <w:sz w:val="28"/>
          <w:szCs w:val="28"/>
          <w:lang w:val="zh-CN"/>
        </w:rPr>
      </w:pPr>
    </w:p>
    <w:p w14:paraId="1B262143">
      <w:pPr>
        <w:rPr>
          <w:rFonts w:hint="eastAsia" w:ascii="宋体" w:hAnsi="宋体" w:cs="宋体"/>
          <w:b/>
          <w:bCs/>
          <w:color w:val="000000"/>
          <w:sz w:val="28"/>
          <w:szCs w:val="28"/>
          <w:lang w:val="zh-CN"/>
        </w:rPr>
      </w:pPr>
    </w:p>
    <w:p w14:paraId="20D6D006">
      <w:pPr>
        <w:autoSpaceDE w:val="0"/>
        <w:autoSpaceDN w:val="0"/>
        <w:adjustRightInd w:val="0"/>
        <w:jc w:val="center"/>
        <w:rPr>
          <w:rFonts w:hint="eastAsia" w:ascii="宋体" w:hAnsi="宋体" w:cs="宋体"/>
          <w:b/>
          <w:bCs/>
          <w:color w:val="000000"/>
          <w:sz w:val="28"/>
          <w:szCs w:val="28"/>
          <w:lang w:val="zh-CN"/>
        </w:rPr>
      </w:pPr>
    </w:p>
    <w:p w14:paraId="6BF730FF">
      <w:pPr>
        <w:spacing w:before="274" w:line="225" w:lineRule="auto"/>
        <w:jc w:val="center"/>
        <w:rPr>
          <w:rFonts w:hint="eastAsia" w:ascii="宋体" w:hAnsi="宋体" w:cs="宋体"/>
          <w:sz w:val="28"/>
          <w:szCs w:val="28"/>
        </w:rPr>
      </w:pPr>
      <w:r>
        <w:rPr>
          <w:rFonts w:hint="eastAsia" w:ascii="宋体" w:hAnsi="宋体" w:cs="宋体"/>
          <w:spacing w:val="10"/>
          <w:sz w:val="28"/>
          <w:szCs w:val="28"/>
          <w14:textOutline w14:w="5791" w14:cap="sq" w14:cmpd="sng" w14:algn="ctr">
            <w14:solidFill>
              <w14:srgbClr w14:val="000000"/>
            </w14:solidFill>
            <w14:prstDash w14:val="solid"/>
            <w14:bevel/>
          </w14:textOutline>
        </w:rPr>
        <w:t>资格审查文件索引表</w:t>
      </w:r>
    </w:p>
    <w:p w14:paraId="051F9708">
      <w:pPr>
        <w:spacing w:line="260" w:lineRule="auto"/>
        <w:rPr>
          <w:rFonts w:ascii="Arial"/>
        </w:rPr>
      </w:pPr>
    </w:p>
    <w:p w14:paraId="27F1D311">
      <w:pPr>
        <w:spacing w:line="400" w:lineRule="exact"/>
        <w:rPr>
          <w:rFonts w:hint="eastAsia" w:ascii="宋体" w:hAnsi="宋体" w:cs="宋体"/>
          <w:bCs/>
          <w:sz w:val="24"/>
          <w:szCs w:val="24"/>
        </w:rPr>
      </w:pPr>
      <w:r>
        <w:rPr>
          <w:rFonts w:hint="eastAsia" w:ascii="宋体" w:hAnsi="宋体" w:cs="宋体"/>
          <w:bCs/>
          <w:sz w:val="24"/>
          <w:szCs w:val="24"/>
        </w:rPr>
        <w:t>投标供应商务必在资格审查文件部分前制作本索引表。</w:t>
      </w:r>
    </w:p>
    <w:tbl>
      <w:tblPr>
        <w:tblStyle w:val="21"/>
        <w:tblW w:w="5000" w:type="pct"/>
        <w:jc w:val="center"/>
        <w:tblLayout w:type="fixed"/>
        <w:tblCellMar>
          <w:top w:w="0" w:type="dxa"/>
          <w:left w:w="108" w:type="dxa"/>
          <w:bottom w:w="0" w:type="dxa"/>
          <w:right w:w="108" w:type="dxa"/>
        </w:tblCellMar>
      </w:tblPr>
      <w:tblGrid>
        <w:gridCol w:w="850"/>
        <w:gridCol w:w="7379"/>
        <w:gridCol w:w="1734"/>
      </w:tblGrid>
      <w:tr w14:paraId="2B083FC9">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14:paraId="033AFFC2">
            <w:pPr>
              <w:jc w:val="center"/>
              <w:rPr>
                <w:rFonts w:hint="eastAsia" w:ascii="宋体" w:hAnsi="宋体" w:cs="宋体"/>
                <w:bCs/>
                <w:sz w:val="24"/>
                <w:szCs w:val="24"/>
              </w:rPr>
            </w:pPr>
            <w:r>
              <w:rPr>
                <w:rFonts w:hint="eastAsia" w:ascii="宋体" w:hAnsi="宋体" w:cs="宋体"/>
                <w:bCs/>
                <w:sz w:val="24"/>
                <w:szCs w:val="24"/>
              </w:rPr>
              <w:t>序号</w:t>
            </w:r>
          </w:p>
        </w:tc>
        <w:tc>
          <w:tcPr>
            <w:tcW w:w="3703" w:type="pct"/>
            <w:vMerge w:val="restart"/>
            <w:tcBorders>
              <w:top w:val="single" w:color="auto" w:sz="4" w:space="0"/>
              <w:left w:val="nil"/>
              <w:right w:val="single" w:color="auto" w:sz="4" w:space="0"/>
            </w:tcBorders>
            <w:vAlign w:val="center"/>
          </w:tcPr>
          <w:p w14:paraId="09725B05">
            <w:pPr>
              <w:jc w:val="center"/>
              <w:rPr>
                <w:rFonts w:hint="eastAsia" w:ascii="宋体" w:hAnsi="宋体" w:cs="宋体"/>
                <w:bCs/>
                <w:sz w:val="24"/>
                <w:szCs w:val="24"/>
              </w:rPr>
            </w:pPr>
            <w:r>
              <w:rPr>
                <w:rFonts w:hint="eastAsia" w:ascii="宋体" w:hAnsi="宋体" w:cs="宋体"/>
                <w:bCs/>
                <w:sz w:val="24"/>
                <w:szCs w:val="24"/>
              </w:rPr>
              <w:t>资格性审查项目</w:t>
            </w:r>
          </w:p>
        </w:tc>
        <w:tc>
          <w:tcPr>
            <w:tcW w:w="869" w:type="pct"/>
            <w:vMerge w:val="restart"/>
            <w:tcBorders>
              <w:top w:val="single" w:color="auto" w:sz="4" w:space="0"/>
              <w:left w:val="nil"/>
              <w:right w:val="single" w:color="auto" w:sz="4" w:space="0"/>
            </w:tcBorders>
            <w:vAlign w:val="center"/>
          </w:tcPr>
          <w:p w14:paraId="031A8260">
            <w:pPr>
              <w:jc w:val="center"/>
              <w:rPr>
                <w:rFonts w:hint="eastAsia" w:ascii="宋体" w:hAnsi="宋体" w:cs="宋体"/>
                <w:bCs/>
                <w:sz w:val="24"/>
                <w:szCs w:val="24"/>
              </w:rPr>
            </w:pPr>
            <w:r>
              <w:rPr>
                <w:rFonts w:hint="eastAsia" w:ascii="宋体" w:hAnsi="宋体" w:cs="宋体"/>
                <w:bCs/>
                <w:sz w:val="24"/>
                <w:szCs w:val="24"/>
              </w:rPr>
              <w:t>资格证明文件位置页码</w:t>
            </w:r>
          </w:p>
        </w:tc>
      </w:tr>
      <w:tr w14:paraId="7543A01D">
        <w:tblPrEx>
          <w:tblCellMar>
            <w:top w:w="0" w:type="dxa"/>
            <w:left w:w="108" w:type="dxa"/>
            <w:bottom w:w="0" w:type="dxa"/>
            <w:right w:w="108" w:type="dxa"/>
          </w:tblCellMar>
        </w:tblPrEx>
        <w:trPr>
          <w:trHeight w:val="311" w:hRule="atLeast"/>
          <w:jc w:val="center"/>
        </w:trPr>
        <w:tc>
          <w:tcPr>
            <w:tcW w:w="427" w:type="pct"/>
            <w:vMerge w:val="continue"/>
            <w:tcBorders>
              <w:left w:val="single" w:color="auto" w:sz="4" w:space="0"/>
              <w:bottom w:val="single" w:color="auto" w:sz="4" w:space="0"/>
              <w:right w:val="single" w:color="auto" w:sz="4" w:space="0"/>
            </w:tcBorders>
            <w:vAlign w:val="center"/>
          </w:tcPr>
          <w:p w14:paraId="7683BEF7">
            <w:pPr>
              <w:jc w:val="center"/>
              <w:rPr>
                <w:rFonts w:hint="eastAsia" w:ascii="宋体" w:hAnsi="宋体" w:cs="宋体"/>
                <w:bCs/>
                <w:sz w:val="24"/>
                <w:szCs w:val="24"/>
              </w:rPr>
            </w:pPr>
          </w:p>
        </w:tc>
        <w:tc>
          <w:tcPr>
            <w:tcW w:w="3703" w:type="pct"/>
            <w:vMerge w:val="continue"/>
            <w:tcBorders>
              <w:left w:val="nil"/>
              <w:bottom w:val="single" w:color="auto" w:sz="4" w:space="0"/>
              <w:right w:val="single" w:color="auto" w:sz="4" w:space="0"/>
            </w:tcBorders>
            <w:vAlign w:val="center"/>
          </w:tcPr>
          <w:p w14:paraId="3741F57A">
            <w:pPr>
              <w:jc w:val="center"/>
              <w:rPr>
                <w:rFonts w:hint="eastAsia" w:ascii="宋体" w:hAnsi="宋体" w:cs="宋体"/>
                <w:bCs/>
                <w:sz w:val="24"/>
                <w:szCs w:val="24"/>
              </w:rPr>
            </w:pPr>
          </w:p>
        </w:tc>
        <w:tc>
          <w:tcPr>
            <w:tcW w:w="869" w:type="pct"/>
            <w:vMerge w:val="continue"/>
            <w:tcBorders>
              <w:left w:val="nil"/>
              <w:bottom w:val="single" w:color="auto" w:sz="4" w:space="0"/>
              <w:right w:val="single" w:color="auto" w:sz="4" w:space="0"/>
            </w:tcBorders>
            <w:vAlign w:val="center"/>
          </w:tcPr>
          <w:p w14:paraId="78732AF3">
            <w:pPr>
              <w:jc w:val="center"/>
              <w:rPr>
                <w:rFonts w:hint="eastAsia" w:ascii="宋体" w:hAnsi="宋体" w:cs="宋体"/>
                <w:bCs/>
                <w:sz w:val="24"/>
                <w:szCs w:val="24"/>
              </w:rPr>
            </w:pPr>
          </w:p>
        </w:tc>
      </w:tr>
      <w:tr w14:paraId="1B0DD688">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3E6271D8">
            <w:pPr>
              <w:jc w:val="center"/>
              <w:rPr>
                <w:rFonts w:hint="eastAsia" w:ascii="宋体" w:hAnsi="宋体" w:cs="宋体"/>
                <w:bCs/>
                <w:sz w:val="24"/>
                <w:szCs w:val="24"/>
              </w:rPr>
            </w:pPr>
            <w:r>
              <w:rPr>
                <w:rFonts w:hint="eastAsia" w:ascii="宋体" w:hAnsi="宋体" w:cs="宋体"/>
                <w:bCs/>
                <w:sz w:val="24"/>
                <w:szCs w:val="24"/>
              </w:rPr>
              <w:t>1</w:t>
            </w:r>
          </w:p>
        </w:tc>
        <w:tc>
          <w:tcPr>
            <w:tcW w:w="3703" w:type="pct"/>
            <w:tcBorders>
              <w:top w:val="nil"/>
              <w:left w:val="nil"/>
              <w:bottom w:val="single" w:color="auto" w:sz="4" w:space="0"/>
              <w:right w:val="single" w:color="auto" w:sz="4" w:space="0"/>
            </w:tcBorders>
            <w:vAlign w:val="center"/>
          </w:tcPr>
          <w:p w14:paraId="61B6484E">
            <w:pPr>
              <w:jc w:val="center"/>
              <w:rPr>
                <w:rFonts w:hint="eastAsia" w:ascii="宋体" w:hAnsi="宋体" w:cs="宋体"/>
                <w:bCs/>
                <w:sz w:val="24"/>
                <w:szCs w:val="24"/>
              </w:rPr>
            </w:pPr>
          </w:p>
        </w:tc>
        <w:tc>
          <w:tcPr>
            <w:tcW w:w="869" w:type="pct"/>
            <w:tcBorders>
              <w:top w:val="nil"/>
              <w:left w:val="nil"/>
              <w:bottom w:val="single" w:color="auto" w:sz="4" w:space="0"/>
              <w:right w:val="single" w:color="auto" w:sz="4" w:space="0"/>
            </w:tcBorders>
            <w:vAlign w:val="center"/>
          </w:tcPr>
          <w:p w14:paraId="2900B433">
            <w:pPr>
              <w:jc w:val="center"/>
              <w:rPr>
                <w:rFonts w:hint="eastAsia" w:ascii="宋体" w:hAnsi="宋体" w:cs="宋体"/>
                <w:bCs/>
                <w:sz w:val="24"/>
                <w:szCs w:val="24"/>
              </w:rPr>
            </w:pPr>
          </w:p>
        </w:tc>
      </w:tr>
      <w:tr w14:paraId="003BE317">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CEBD640">
            <w:pPr>
              <w:jc w:val="center"/>
              <w:rPr>
                <w:rFonts w:hint="eastAsia" w:ascii="宋体" w:hAnsi="宋体" w:cs="宋体"/>
                <w:bCs/>
                <w:sz w:val="24"/>
                <w:szCs w:val="24"/>
              </w:rPr>
            </w:pPr>
            <w:r>
              <w:rPr>
                <w:rFonts w:hint="eastAsia" w:ascii="宋体" w:hAnsi="宋体" w:cs="宋体"/>
                <w:bCs/>
                <w:sz w:val="24"/>
                <w:szCs w:val="24"/>
              </w:rPr>
              <w:t>2</w:t>
            </w:r>
          </w:p>
        </w:tc>
        <w:tc>
          <w:tcPr>
            <w:tcW w:w="3703" w:type="pct"/>
            <w:tcBorders>
              <w:top w:val="nil"/>
              <w:left w:val="nil"/>
              <w:bottom w:val="single" w:color="auto" w:sz="4" w:space="0"/>
              <w:right w:val="single" w:color="auto" w:sz="4" w:space="0"/>
            </w:tcBorders>
            <w:vAlign w:val="center"/>
          </w:tcPr>
          <w:p w14:paraId="7E8753F3">
            <w:pPr>
              <w:jc w:val="center"/>
              <w:rPr>
                <w:rFonts w:hint="eastAsia" w:ascii="宋体" w:hAnsi="宋体" w:cs="宋体"/>
                <w:bCs/>
                <w:sz w:val="24"/>
                <w:szCs w:val="24"/>
              </w:rPr>
            </w:pPr>
          </w:p>
        </w:tc>
        <w:tc>
          <w:tcPr>
            <w:tcW w:w="869" w:type="pct"/>
            <w:tcBorders>
              <w:top w:val="nil"/>
              <w:left w:val="nil"/>
              <w:bottom w:val="single" w:color="auto" w:sz="4" w:space="0"/>
              <w:right w:val="single" w:color="auto" w:sz="4" w:space="0"/>
            </w:tcBorders>
            <w:vAlign w:val="center"/>
          </w:tcPr>
          <w:p w14:paraId="28AC977A">
            <w:pPr>
              <w:jc w:val="center"/>
              <w:rPr>
                <w:rFonts w:hint="eastAsia" w:ascii="宋体" w:hAnsi="宋体" w:cs="宋体"/>
                <w:bCs/>
                <w:sz w:val="24"/>
                <w:szCs w:val="24"/>
              </w:rPr>
            </w:pPr>
          </w:p>
        </w:tc>
      </w:tr>
      <w:tr w14:paraId="054BE6F7">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14838C93">
            <w:pPr>
              <w:jc w:val="center"/>
              <w:rPr>
                <w:rFonts w:hint="eastAsia" w:ascii="宋体" w:hAnsi="宋体" w:cs="宋体"/>
                <w:bCs/>
                <w:sz w:val="24"/>
                <w:szCs w:val="24"/>
              </w:rPr>
            </w:pPr>
            <w:r>
              <w:rPr>
                <w:rFonts w:hint="eastAsia" w:ascii="宋体" w:hAnsi="宋体" w:cs="宋体"/>
                <w:bCs/>
                <w:sz w:val="24"/>
                <w:szCs w:val="24"/>
              </w:rPr>
              <w:t>3</w:t>
            </w:r>
          </w:p>
        </w:tc>
        <w:tc>
          <w:tcPr>
            <w:tcW w:w="3703" w:type="pct"/>
            <w:tcBorders>
              <w:top w:val="nil"/>
              <w:left w:val="nil"/>
              <w:bottom w:val="single" w:color="auto" w:sz="4" w:space="0"/>
              <w:right w:val="single" w:color="auto" w:sz="4" w:space="0"/>
            </w:tcBorders>
            <w:vAlign w:val="center"/>
          </w:tcPr>
          <w:p w14:paraId="15B4A51E">
            <w:pPr>
              <w:jc w:val="center"/>
              <w:rPr>
                <w:rFonts w:hint="eastAsia" w:ascii="宋体" w:hAnsi="宋体" w:cs="宋体"/>
                <w:bCs/>
                <w:sz w:val="24"/>
                <w:szCs w:val="24"/>
              </w:rPr>
            </w:pPr>
          </w:p>
        </w:tc>
        <w:tc>
          <w:tcPr>
            <w:tcW w:w="869" w:type="pct"/>
            <w:tcBorders>
              <w:top w:val="nil"/>
              <w:left w:val="nil"/>
              <w:bottom w:val="single" w:color="auto" w:sz="4" w:space="0"/>
              <w:right w:val="single" w:color="auto" w:sz="4" w:space="0"/>
            </w:tcBorders>
            <w:vAlign w:val="center"/>
          </w:tcPr>
          <w:p w14:paraId="4E2F3D35">
            <w:pPr>
              <w:jc w:val="center"/>
              <w:rPr>
                <w:rFonts w:hint="eastAsia" w:ascii="宋体" w:hAnsi="宋体" w:cs="宋体"/>
                <w:bCs/>
                <w:sz w:val="24"/>
                <w:szCs w:val="24"/>
              </w:rPr>
            </w:pPr>
          </w:p>
        </w:tc>
      </w:tr>
      <w:tr w14:paraId="28C3E2ED">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4BE84D13">
            <w:pPr>
              <w:jc w:val="center"/>
              <w:rPr>
                <w:rFonts w:hint="eastAsia" w:ascii="宋体" w:hAnsi="宋体" w:cs="宋体"/>
                <w:bCs/>
                <w:sz w:val="24"/>
                <w:szCs w:val="24"/>
              </w:rPr>
            </w:pPr>
            <w:r>
              <w:rPr>
                <w:rFonts w:hint="eastAsia" w:ascii="宋体" w:hAnsi="宋体" w:cs="宋体"/>
                <w:bCs/>
                <w:sz w:val="24"/>
                <w:szCs w:val="24"/>
              </w:rPr>
              <w:t>4</w:t>
            </w:r>
          </w:p>
        </w:tc>
        <w:tc>
          <w:tcPr>
            <w:tcW w:w="3703" w:type="pct"/>
            <w:tcBorders>
              <w:top w:val="nil"/>
              <w:left w:val="nil"/>
              <w:bottom w:val="single" w:color="auto" w:sz="4" w:space="0"/>
              <w:right w:val="single" w:color="auto" w:sz="4" w:space="0"/>
            </w:tcBorders>
            <w:vAlign w:val="center"/>
          </w:tcPr>
          <w:p w14:paraId="29E1A659">
            <w:pPr>
              <w:jc w:val="center"/>
              <w:rPr>
                <w:rFonts w:hint="eastAsia" w:ascii="宋体" w:hAnsi="宋体" w:cs="宋体"/>
                <w:bCs/>
                <w:sz w:val="24"/>
                <w:szCs w:val="24"/>
              </w:rPr>
            </w:pPr>
          </w:p>
        </w:tc>
        <w:tc>
          <w:tcPr>
            <w:tcW w:w="869" w:type="pct"/>
            <w:tcBorders>
              <w:top w:val="nil"/>
              <w:left w:val="nil"/>
              <w:bottom w:val="single" w:color="auto" w:sz="4" w:space="0"/>
              <w:right w:val="single" w:color="auto" w:sz="4" w:space="0"/>
            </w:tcBorders>
            <w:vAlign w:val="center"/>
          </w:tcPr>
          <w:p w14:paraId="50B77302">
            <w:pPr>
              <w:jc w:val="center"/>
              <w:rPr>
                <w:rFonts w:hint="eastAsia" w:ascii="宋体" w:hAnsi="宋体" w:cs="宋体"/>
                <w:bCs/>
                <w:sz w:val="24"/>
                <w:szCs w:val="24"/>
              </w:rPr>
            </w:pPr>
          </w:p>
        </w:tc>
      </w:tr>
      <w:tr w14:paraId="224A028D">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14:paraId="7DE577B5">
            <w:pPr>
              <w:jc w:val="center"/>
              <w:rPr>
                <w:rFonts w:hint="eastAsia" w:ascii="宋体" w:hAnsi="宋体" w:cs="宋体"/>
                <w:bCs/>
                <w:sz w:val="24"/>
                <w:szCs w:val="24"/>
              </w:rPr>
            </w:pPr>
            <w:r>
              <w:rPr>
                <w:rFonts w:hint="eastAsia" w:ascii="宋体" w:hAnsi="宋体" w:cs="宋体"/>
                <w:bCs/>
                <w:sz w:val="24"/>
                <w:szCs w:val="24"/>
              </w:rPr>
              <w:t>5</w:t>
            </w:r>
          </w:p>
        </w:tc>
        <w:tc>
          <w:tcPr>
            <w:tcW w:w="3703" w:type="pct"/>
            <w:tcBorders>
              <w:top w:val="nil"/>
              <w:left w:val="nil"/>
              <w:bottom w:val="single" w:color="auto" w:sz="4" w:space="0"/>
              <w:right w:val="single" w:color="auto" w:sz="4" w:space="0"/>
            </w:tcBorders>
            <w:vAlign w:val="center"/>
          </w:tcPr>
          <w:p w14:paraId="672E643F">
            <w:pPr>
              <w:jc w:val="center"/>
              <w:rPr>
                <w:rFonts w:hint="eastAsia" w:ascii="宋体" w:hAnsi="宋体" w:cs="宋体"/>
                <w:bCs/>
                <w:sz w:val="24"/>
                <w:szCs w:val="24"/>
              </w:rPr>
            </w:pPr>
            <w:r>
              <w:rPr>
                <w:rFonts w:hint="eastAsia" w:ascii="宋体" w:hAnsi="宋体" w:cs="宋体"/>
                <w:bCs/>
                <w:sz w:val="24"/>
                <w:szCs w:val="24"/>
              </w:rPr>
              <w:t>……</w:t>
            </w:r>
          </w:p>
        </w:tc>
        <w:tc>
          <w:tcPr>
            <w:tcW w:w="869" w:type="pct"/>
            <w:tcBorders>
              <w:top w:val="nil"/>
              <w:left w:val="nil"/>
              <w:bottom w:val="single" w:color="auto" w:sz="4" w:space="0"/>
              <w:right w:val="single" w:color="auto" w:sz="4" w:space="0"/>
            </w:tcBorders>
            <w:vAlign w:val="center"/>
          </w:tcPr>
          <w:p w14:paraId="79C8AAB6">
            <w:pPr>
              <w:jc w:val="center"/>
              <w:rPr>
                <w:rFonts w:hint="eastAsia" w:ascii="宋体" w:hAnsi="宋体" w:cs="宋体"/>
                <w:bCs/>
                <w:sz w:val="24"/>
                <w:szCs w:val="24"/>
              </w:rPr>
            </w:pPr>
          </w:p>
        </w:tc>
      </w:tr>
      <w:tr w14:paraId="5395F0A3">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0C50AD93">
            <w:pPr>
              <w:jc w:val="center"/>
              <w:rPr>
                <w:rFonts w:hint="eastAsia" w:ascii="宋体" w:hAnsi="宋体" w:cs="宋体"/>
                <w:bCs/>
                <w:sz w:val="24"/>
                <w:szCs w:val="24"/>
              </w:rPr>
            </w:pPr>
          </w:p>
        </w:tc>
        <w:tc>
          <w:tcPr>
            <w:tcW w:w="3703" w:type="pct"/>
            <w:tcBorders>
              <w:top w:val="single" w:color="auto" w:sz="4" w:space="0"/>
              <w:left w:val="nil"/>
              <w:bottom w:val="single" w:color="auto" w:sz="4" w:space="0"/>
              <w:right w:val="single" w:color="auto" w:sz="4" w:space="0"/>
            </w:tcBorders>
            <w:vAlign w:val="center"/>
          </w:tcPr>
          <w:p w14:paraId="0E1F856C">
            <w:pPr>
              <w:jc w:val="center"/>
              <w:rPr>
                <w:rFonts w:hint="eastAsia" w:ascii="宋体" w:hAnsi="宋体" w:cs="宋体"/>
                <w:bCs/>
                <w:sz w:val="24"/>
                <w:szCs w:val="24"/>
              </w:rPr>
            </w:pPr>
          </w:p>
        </w:tc>
        <w:tc>
          <w:tcPr>
            <w:tcW w:w="869" w:type="pct"/>
            <w:tcBorders>
              <w:top w:val="single" w:color="auto" w:sz="4" w:space="0"/>
              <w:left w:val="nil"/>
              <w:bottom w:val="single" w:color="auto" w:sz="4" w:space="0"/>
              <w:right w:val="single" w:color="auto" w:sz="4" w:space="0"/>
            </w:tcBorders>
            <w:vAlign w:val="center"/>
          </w:tcPr>
          <w:p w14:paraId="6A4E295E">
            <w:pPr>
              <w:jc w:val="center"/>
              <w:rPr>
                <w:rFonts w:hint="eastAsia" w:ascii="宋体" w:hAnsi="宋体" w:cs="宋体"/>
                <w:bCs/>
                <w:sz w:val="24"/>
                <w:szCs w:val="24"/>
              </w:rPr>
            </w:pPr>
          </w:p>
        </w:tc>
      </w:tr>
      <w:tr w14:paraId="0A4F6B69">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3A3D6FDD">
            <w:pPr>
              <w:jc w:val="center"/>
              <w:rPr>
                <w:rFonts w:hint="eastAsia" w:ascii="宋体" w:hAnsi="宋体" w:cs="宋体"/>
                <w:bCs/>
                <w:sz w:val="24"/>
                <w:szCs w:val="24"/>
              </w:rPr>
            </w:pPr>
          </w:p>
        </w:tc>
        <w:tc>
          <w:tcPr>
            <w:tcW w:w="3703" w:type="pct"/>
            <w:tcBorders>
              <w:top w:val="single" w:color="auto" w:sz="4" w:space="0"/>
              <w:left w:val="nil"/>
              <w:bottom w:val="single" w:color="auto" w:sz="4" w:space="0"/>
              <w:right w:val="single" w:color="auto" w:sz="4" w:space="0"/>
            </w:tcBorders>
            <w:vAlign w:val="center"/>
          </w:tcPr>
          <w:p w14:paraId="61F9322C">
            <w:pPr>
              <w:jc w:val="center"/>
              <w:rPr>
                <w:rFonts w:hint="eastAsia" w:ascii="宋体" w:hAnsi="宋体" w:cs="宋体"/>
                <w:bCs/>
                <w:sz w:val="24"/>
                <w:szCs w:val="24"/>
              </w:rPr>
            </w:pPr>
          </w:p>
        </w:tc>
        <w:tc>
          <w:tcPr>
            <w:tcW w:w="869" w:type="pct"/>
            <w:tcBorders>
              <w:top w:val="single" w:color="auto" w:sz="4" w:space="0"/>
              <w:left w:val="nil"/>
              <w:bottom w:val="single" w:color="auto" w:sz="4" w:space="0"/>
              <w:right w:val="single" w:color="auto" w:sz="4" w:space="0"/>
            </w:tcBorders>
            <w:vAlign w:val="center"/>
          </w:tcPr>
          <w:p w14:paraId="3006A75D">
            <w:pPr>
              <w:jc w:val="center"/>
              <w:rPr>
                <w:rFonts w:hint="eastAsia" w:ascii="宋体" w:hAnsi="宋体" w:cs="宋体"/>
                <w:bCs/>
                <w:sz w:val="24"/>
                <w:szCs w:val="24"/>
              </w:rPr>
            </w:pPr>
          </w:p>
        </w:tc>
      </w:tr>
      <w:tr w14:paraId="37D76AF0">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23D85FB5">
            <w:pPr>
              <w:jc w:val="center"/>
              <w:rPr>
                <w:rFonts w:hint="eastAsia" w:ascii="宋体" w:hAnsi="宋体" w:cs="宋体"/>
                <w:bCs/>
                <w:sz w:val="24"/>
                <w:szCs w:val="24"/>
              </w:rPr>
            </w:pPr>
          </w:p>
        </w:tc>
        <w:tc>
          <w:tcPr>
            <w:tcW w:w="3703" w:type="pct"/>
            <w:tcBorders>
              <w:top w:val="single" w:color="auto" w:sz="4" w:space="0"/>
              <w:left w:val="single" w:color="auto" w:sz="4" w:space="0"/>
              <w:bottom w:val="single" w:color="auto" w:sz="4" w:space="0"/>
              <w:right w:val="single" w:color="auto" w:sz="4" w:space="0"/>
            </w:tcBorders>
            <w:vAlign w:val="center"/>
          </w:tcPr>
          <w:p w14:paraId="3EDC5DF3">
            <w:pPr>
              <w:jc w:val="center"/>
              <w:rPr>
                <w:rFonts w:hint="eastAsia" w:ascii="宋体" w:hAnsi="宋体" w:cs="宋体"/>
                <w:bCs/>
                <w:sz w:val="24"/>
                <w:szCs w:val="24"/>
              </w:rPr>
            </w:pPr>
          </w:p>
        </w:tc>
        <w:tc>
          <w:tcPr>
            <w:tcW w:w="869" w:type="pct"/>
            <w:tcBorders>
              <w:top w:val="single" w:color="auto" w:sz="4" w:space="0"/>
              <w:left w:val="single" w:color="auto" w:sz="4" w:space="0"/>
              <w:bottom w:val="single" w:color="auto" w:sz="4" w:space="0"/>
              <w:right w:val="single" w:color="auto" w:sz="4" w:space="0"/>
            </w:tcBorders>
            <w:vAlign w:val="center"/>
          </w:tcPr>
          <w:p w14:paraId="270CF9C9">
            <w:pPr>
              <w:jc w:val="center"/>
              <w:rPr>
                <w:rFonts w:hint="eastAsia" w:ascii="宋体" w:hAnsi="宋体" w:cs="宋体"/>
                <w:bCs/>
                <w:sz w:val="24"/>
                <w:szCs w:val="24"/>
              </w:rPr>
            </w:pPr>
          </w:p>
        </w:tc>
      </w:tr>
      <w:tr w14:paraId="2B67B3EB">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5E2E47A3">
            <w:pPr>
              <w:jc w:val="center"/>
              <w:rPr>
                <w:rFonts w:hint="eastAsia" w:ascii="宋体" w:hAnsi="宋体" w:cs="宋体"/>
                <w:bCs/>
                <w:sz w:val="24"/>
                <w:szCs w:val="24"/>
              </w:rPr>
            </w:pPr>
          </w:p>
        </w:tc>
        <w:tc>
          <w:tcPr>
            <w:tcW w:w="3703" w:type="pct"/>
            <w:tcBorders>
              <w:top w:val="single" w:color="auto" w:sz="4" w:space="0"/>
              <w:left w:val="single" w:color="auto" w:sz="4" w:space="0"/>
              <w:bottom w:val="single" w:color="auto" w:sz="4" w:space="0"/>
              <w:right w:val="single" w:color="auto" w:sz="4" w:space="0"/>
            </w:tcBorders>
            <w:vAlign w:val="center"/>
          </w:tcPr>
          <w:p w14:paraId="307F18E0">
            <w:pPr>
              <w:jc w:val="center"/>
              <w:rPr>
                <w:rFonts w:hint="eastAsia" w:ascii="宋体" w:hAnsi="宋体" w:cs="宋体"/>
                <w:bCs/>
                <w:sz w:val="24"/>
                <w:szCs w:val="24"/>
              </w:rPr>
            </w:pPr>
          </w:p>
        </w:tc>
        <w:tc>
          <w:tcPr>
            <w:tcW w:w="869" w:type="pct"/>
            <w:tcBorders>
              <w:top w:val="single" w:color="auto" w:sz="4" w:space="0"/>
              <w:left w:val="single" w:color="auto" w:sz="4" w:space="0"/>
              <w:bottom w:val="single" w:color="auto" w:sz="4" w:space="0"/>
              <w:right w:val="single" w:color="auto" w:sz="4" w:space="0"/>
            </w:tcBorders>
            <w:vAlign w:val="center"/>
          </w:tcPr>
          <w:p w14:paraId="16EA08FE">
            <w:pPr>
              <w:jc w:val="center"/>
              <w:rPr>
                <w:rFonts w:hint="eastAsia" w:ascii="宋体" w:hAnsi="宋体" w:cs="宋体"/>
                <w:bCs/>
                <w:sz w:val="24"/>
                <w:szCs w:val="24"/>
              </w:rPr>
            </w:pPr>
          </w:p>
        </w:tc>
      </w:tr>
      <w:tr w14:paraId="708D79AA">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14:paraId="446E0853">
            <w:pPr>
              <w:jc w:val="center"/>
              <w:rPr>
                <w:rFonts w:hint="eastAsia" w:ascii="宋体" w:hAnsi="宋体" w:cs="宋体"/>
                <w:bCs/>
                <w:sz w:val="24"/>
                <w:szCs w:val="24"/>
              </w:rPr>
            </w:pPr>
          </w:p>
        </w:tc>
        <w:tc>
          <w:tcPr>
            <w:tcW w:w="3703" w:type="pct"/>
            <w:tcBorders>
              <w:top w:val="single" w:color="auto" w:sz="4" w:space="0"/>
              <w:left w:val="single" w:color="auto" w:sz="4" w:space="0"/>
              <w:bottom w:val="single" w:color="auto" w:sz="4" w:space="0"/>
              <w:right w:val="single" w:color="auto" w:sz="4" w:space="0"/>
            </w:tcBorders>
            <w:vAlign w:val="center"/>
          </w:tcPr>
          <w:p w14:paraId="4C423CB5">
            <w:pPr>
              <w:jc w:val="center"/>
              <w:rPr>
                <w:rFonts w:hint="eastAsia" w:ascii="宋体" w:hAnsi="宋体" w:cs="宋体"/>
                <w:bCs/>
                <w:sz w:val="24"/>
                <w:szCs w:val="24"/>
              </w:rPr>
            </w:pPr>
          </w:p>
        </w:tc>
        <w:tc>
          <w:tcPr>
            <w:tcW w:w="869" w:type="pct"/>
            <w:tcBorders>
              <w:top w:val="single" w:color="auto" w:sz="4" w:space="0"/>
              <w:left w:val="single" w:color="auto" w:sz="4" w:space="0"/>
              <w:bottom w:val="single" w:color="auto" w:sz="4" w:space="0"/>
              <w:right w:val="single" w:color="auto" w:sz="4" w:space="0"/>
            </w:tcBorders>
            <w:vAlign w:val="center"/>
          </w:tcPr>
          <w:p w14:paraId="241FBC74">
            <w:pPr>
              <w:jc w:val="center"/>
              <w:rPr>
                <w:rFonts w:hint="eastAsia" w:ascii="宋体" w:hAnsi="宋体" w:cs="宋体"/>
                <w:bCs/>
                <w:sz w:val="24"/>
                <w:szCs w:val="24"/>
              </w:rPr>
            </w:pPr>
          </w:p>
        </w:tc>
      </w:tr>
      <w:tr w14:paraId="78B49F72">
        <w:tblPrEx>
          <w:tblCellMar>
            <w:top w:w="0" w:type="dxa"/>
            <w:left w:w="108" w:type="dxa"/>
            <w:bottom w:w="0" w:type="dxa"/>
            <w:right w:w="108" w:type="dxa"/>
          </w:tblCellMar>
        </w:tblPrEx>
        <w:trPr>
          <w:trHeight w:val="1772"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E81728E">
            <w:pPr>
              <w:rPr>
                <w:rFonts w:hint="eastAsia" w:ascii="宋体" w:hAnsi="宋体" w:cs="宋体"/>
                <w:sz w:val="24"/>
                <w:szCs w:val="24"/>
              </w:rPr>
            </w:pPr>
            <w:r>
              <w:rPr>
                <w:rFonts w:hint="eastAsia" w:ascii="宋体" w:hAnsi="宋体" w:cs="宋体"/>
                <w:sz w:val="24"/>
                <w:szCs w:val="24"/>
              </w:rPr>
              <w:t>备注：</w:t>
            </w:r>
          </w:p>
          <w:p w14:paraId="47149EE8">
            <w:pPr>
              <w:rPr>
                <w:rFonts w:hint="eastAsia" w:ascii="宋体" w:hAnsi="宋体" w:cs="宋体"/>
                <w:sz w:val="24"/>
                <w:szCs w:val="24"/>
              </w:rPr>
            </w:pPr>
            <w:r>
              <w:rPr>
                <w:rFonts w:hint="eastAsia" w:ascii="宋体" w:hAnsi="宋体" w:cs="宋体"/>
                <w:sz w:val="24"/>
                <w:szCs w:val="24"/>
              </w:rPr>
              <w:t>1.投标供应商按照《资格性审查表》编制此表。</w:t>
            </w:r>
          </w:p>
          <w:p w14:paraId="7D2104B7">
            <w:pPr>
              <w:rPr>
                <w:rFonts w:hint="eastAsia" w:ascii="宋体" w:hAnsi="宋体" w:cs="宋体"/>
                <w:sz w:val="24"/>
                <w:szCs w:val="24"/>
              </w:rPr>
            </w:pPr>
            <w:r>
              <w:rPr>
                <w:rFonts w:hint="eastAsia" w:ascii="宋体" w:hAnsi="宋体" w:cs="宋体"/>
                <w:sz w:val="24"/>
                <w:szCs w:val="24"/>
              </w:rPr>
              <w:t>2.投标供应商应当根据本单位实际情况和投标文件内容填写，并标注相关证明材料在资格证明文件的位置页码。</w:t>
            </w:r>
          </w:p>
          <w:p w14:paraId="76BEE9E5">
            <w:pPr>
              <w:numPr>
                <w:ilvl w:val="0"/>
                <w:numId w:val="6"/>
              </w:numPr>
              <w:rPr>
                <w:rFonts w:hint="eastAsia" w:ascii="宋体" w:hAnsi="宋体" w:cs="宋体"/>
                <w:sz w:val="24"/>
                <w:szCs w:val="24"/>
              </w:rPr>
            </w:pPr>
            <w:r>
              <w:rPr>
                <w:rFonts w:hint="eastAsia" w:ascii="宋体" w:hAnsi="宋体" w:cs="宋体"/>
                <w:sz w:val="24"/>
                <w:szCs w:val="24"/>
              </w:rPr>
              <w:t>投标供应商不得虚报、瞒报、漏报或虚假承诺。</w:t>
            </w:r>
          </w:p>
          <w:p w14:paraId="151FFB7E">
            <w:pPr>
              <w:pStyle w:val="3"/>
            </w:pPr>
          </w:p>
          <w:p w14:paraId="06FFC9A6">
            <w:pPr>
              <w:pStyle w:val="3"/>
            </w:pPr>
            <w:r>
              <w:rPr>
                <w:rFonts w:hint="eastAsia"/>
              </w:rPr>
              <w:t>4</w:t>
            </w:r>
          </w:p>
          <w:p w14:paraId="1DE7939D"/>
          <w:p w14:paraId="5816AB40">
            <w:pPr>
              <w:pStyle w:val="3"/>
            </w:pPr>
          </w:p>
        </w:tc>
      </w:tr>
    </w:tbl>
    <w:p w14:paraId="4455D984">
      <w:pPr>
        <w:spacing w:line="260" w:lineRule="auto"/>
        <w:rPr>
          <w:rFonts w:ascii="Arial"/>
        </w:rPr>
      </w:pPr>
    </w:p>
    <w:p w14:paraId="2C867598">
      <w:pPr>
        <w:spacing w:line="260" w:lineRule="auto"/>
        <w:rPr>
          <w:rFonts w:ascii="Arial"/>
        </w:rPr>
      </w:pPr>
    </w:p>
    <w:p w14:paraId="3D5A1D7D">
      <w:pPr>
        <w:pStyle w:val="3"/>
      </w:pPr>
    </w:p>
    <w:p w14:paraId="452A1303">
      <w:pPr>
        <w:spacing w:line="260" w:lineRule="auto"/>
        <w:rPr>
          <w:rFonts w:ascii="Arial"/>
        </w:rPr>
      </w:pPr>
    </w:p>
    <w:p w14:paraId="7A282251">
      <w:pPr>
        <w:spacing w:before="91" w:line="468" w:lineRule="exact"/>
        <w:jc w:val="center"/>
        <w:outlineLvl w:val="2"/>
        <w:rPr>
          <w:rFonts w:hint="eastAsia" w:ascii="宋体" w:hAnsi="宋体" w:cs="宋体"/>
          <w:sz w:val="28"/>
          <w:szCs w:val="28"/>
        </w:rPr>
      </w:pPr>
      <w:r>
        <w:rPr>
          <w:rFonts w:hint="eastAsia" w:ascii="宋体" w:hAnsi="宋体" w:cs="宋体"/>
          <w:spacing w:val="-1"/>
          <w:position w:val="2"/>
          <w:sz w:val="28"/>
          <w:szCs w:val="28"/>
          <w14:textOutline w14:w="5105" w14:cap="sq" w14:cmpd="sng" w14:algn="ctr">
            <w14:solidFill>
              <w14:srgbClr w14:val="000000"/>
            </w14:solidFill>
            <w14:prstDash w14:val="solid"/>
            <w14:bevel/>
          </w14:textOutline>
        </w:rPr>
        <w:t>一、</w:t>
      </w:r>
      <w:r>
        <w:rPr>
          <w:rFonts w:ascii="宋体" w:hAnsi="宋体" w:cs="宋体"/>
          <w:spacing w:val="-1"/>
          <w:position w:val="2"/>
          <w:sz w:val="28"/>
          <w:szCs w:val="28"/>
          <w14:textOutline w14:w="5105" w14:cap="sq" w14:cmpd="sng" w14:algn="ctr">
            <w14:solidFill>
              <w14:srgbClr w14:val="000000"/>
            </w14:solidFill>
            <w14:prstDash w14:val="solid"/>
            <w14:bevel/>
          </w14:textOutline>
        </w:rPr>
        <w:t>投标人</w:t>
      </w:r>
      <w:r>
        <w:rPr>
          <w:rFonts w:ascii="宋体" w:hAnsi="宋体" w:cs="宋体"/>
          <w:position w:val="2"/>
          <w:sz w:val="28"/>
          <w:szCs w:val="28"/>
          <w14:textOutline w14:w="5105" w14:cap="sq" w14:cmpd="sng" w14:algn="ctr">
            <w14:solidFill>
              <w14:srgbClr w14:val="000000"/>
            </w14:solidFill>
            <w14:prstDash w14:val="solid"/>
            <w14:bevel/>
          </w14:textOutline>
        </w:rPr>
        <w:t>基本情况表</w:t>
      </w:r>
    </w:p>
    <w:p w14:paraId="70B98186">
      <w:pPr>
        <w:spacing w:line="33" w:lineRule="exact"/>
      </w:pPr>
    </w:p>
    <w:tbl>
      <w:tblPr>
        <w:tblStyle w:val="7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412"/>
        <w:gridCol w:w="1194"/>
        <w:gridCol w:w="1501"/>
        <w:gridCol w:w="299"/>
        <w:gridCol w:w="903"/>
        <w:gridCol w:w="1198"/>
        <w:gridCol w:w="751"/>
        <w:gridCol w:w="448"/>
        <w:gridCol w:w="1067"/>
      </w:tblGrid>
      <w:tr w14:paraId="0FA76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9" w:hRule="atLeast"/>
        </w:trPr>
        <w:tc>
          <w:tcPr>
            <w:tcW w:w="5000" w:type="pct"/>
            <w:gridSpan w:val="9"/>
            <w:tcBorders>
              <w:left w:val="single" w:color="000000" w:sz="10" w:space="0"/>
              <w:right w:val="single" w:color="000000" w:sz="10" w:space="0"/>
            </w:tcBorders>
            <w:shd w:val="clear" w:color="auto" w:fill="F1F1F1"/>
          </w:tcPr>
          <w:p w14:paraId="17AAD483">
            <w:pPr>
              <w:spacing w:before="258" w:line="227" w:lineRule="auto"/>
              <w:ind w:left="3888"/>
              <w:rPr>
                <w:rFonts w:hint="eastAsia" w:ascii="宋体" w:hAnsi="宋体" w:cs="宋体"/>
                <w:sz w:val="24"/>
                <w:szCs w:val="24"/>
              </w:rPr>
            </w:pPr>
            <w:r>
              <w:rPr>
                <w:rFonts w:hint="eastAsia" w:ascii="宋体" w:hAnsi="宋体" w:cs="宋体"/>
                <w:spacing w:val="8"/>
                <w:sz w:val="24"/>
                <w:szCs w:val="24"/>
              </w:rPr>
              <w:t>单位基本情况</w:t>
            </w:r>
          </w:p>
        </w:tc>
      </w:tr>
      <w:tr w14:paraId="74783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234" w:type="pct"/>
            <w:tcBorders>
              <w:left w:val="single" w:color="000000" w:sz="10" w:space="0"/>
              <w:right w:val="single" w:color="000000" w:sz="4" w:space="0"/>
            </w:tcBorders>
          </w:tcPr>
          <w:p w14:paraId="256F0C0D">
            <w:pPr>
              <w:spacing w:before="192" w:line="228" w:lineRule="auto"/>
              <w:ind w:left="536"/>
              <w:rPr>
                <w:rFonts w:hint="eastAsia" w:ascii="宋体" w:hAnsi="宋体" w:cs="宋体"/>
                <w:sz w:val="24"/>
                <w:szCs w:val="24"/>
              </w:rPr>
            </w:pPr>
            <w:r>
              <w:rPr>
                <w:rFonts w:hint="eastAsia" w:ascii="宋体" w:hAnsi="宋体" w:cs="宋体"/>
                <w:spacing w:val="9"/>
                <w:sz w:val="24"/>
                <w:szCs w:val="24"/>
              </w:rPr>
              <w:t>投</w:t>
            </w:r>
            <w:r>
              <w:rPr>
                <w:rFonts w:hint="eastAsia" w:ascii="宋体" w:hAnsi="宋体" w:cs="宋体"/>
                <w:spacing w:val="7"/>
                <w:sz w:val="24"/>
                <w:szCs w:val="24"/>
              </w:rPr>
              <w:t>标人名称</w:t>
            </w:r>
          </w:p>
        </w:tc>
        <w:tc>
          <w:tcPr>
            <w:tcW w:w="3765" w:type="pct"/>
            <w:gridSpan w:val="8"/>
            <w:tcBorders>
              <w:left w:val="single" w:color="000000" w:sz="4" w:space="0"/>
              <w:right w:val="single" w:color="000000" w:sz="10" w:space="0"/>
            </w:tcBorders>
          </w:tcPr>
          <w:p w14:paraId="302E1F6C">
            <w:pPr>
              <w:rPr>
                <w:rFonts w:hint="eastAsia" w:ascii="宋体" w:hAnsi="宋体" w:cs="宋体"/>
                <w:sz w:val="24"/>
                <w:szCs w:val="24"/>
              </w:rPr>
            </w:pPr>
          </w:p>
        </w:tc>
      </w:tr>
      <w:tr w14:paraId="0F887B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234" w:type="pct"/>
            <w:tcBorders>
              <w:left w:val="single" w:color="000000" w:sz="10" w:space="0"/>
              <w:right w:val="single" w:color="000000" w:sz="4" w:space="0"/>
            </w:tcBorders>
          </w:tcPr>
          <w:p w14:paraId="43E63F47">
            <w:pPr>
              <w:spacing w:before="232" w:line="229" w:lineRule="auto"/>
              <w:ind w:left="179"/>
              <w:rPr>
                <w:rFonts w:hint="eastAsia" w:ascii="宋体" w:hAnsi="宋体" w:cs="宋体"/>
                <w:sz w:val="24"/>
                <w:szCs w:val="24"/>
              </w:rPr>
            </w:pPr>
            <w:r>
              <w:rPr>
                <w:rFonts w:hint="eastAsia" w:ascii="宋体" w:hAnsi="宋体" w:cs="宋体"/>
                <w:spacing w:val="8"/>
                <w:sz w:val="24"/>
                <w:szCs w:val="24"/>
              </w:rPr>
              <w:t>统一社会信用代码</w:t>
            </w:r>
          </w:p>
        </w:tc>
        <w:tc>
          <w:tcPr>
            <w:tcW w:w="1994" w:type="pct"/>
            <w:gridSpan w:val="4"/>
            <w:tcBorders>
              <w:left w:val="single" w:color="000000" w:sz="4" w:space="0"/>
              <w:right w:val="single" w:color="000000" w:sz="4" w:space="0"/>
            </w:tcBorders>
          </w:tcPr>
          <w:p w14:paraId="73164DBF">
            <w:pPr>
              <w:rPr>
                <w:rFonts w:hint="eastAsia" w:ascii="宋体" w:hAnsi="宋体" w:cs="宋体"/>
                <w:sz w:val="24"/>
                <w:szCs w:val="24"/>
              </w:rPr>
            </w:pPr>
          </w:p>
        </w:tc>
        <w:tc>
          <w:tcPr>
            <w:tcW w:w="997" w:type="pct"/>
            <w:gridSpan w:val="2"/>
            <w:tcBorders>
              <w:left w:val="single" w:color="000000" w:sz="4" w:space="0"/>
              <w:right w:val="single" w:color="000000" w:sz="4" w:space="0"/>
            </w:tcBorders>
          </w:tcPr>
          <w:p w14:paraId="39B1991D">
            <w:pPr>
              <w:spacing w:before="277" w:line="229" w:lineRule="auto"/>
              <w:ind w:left="451"/>
              <w:rPr>
                <w:rFonts w:hint="eastAsia" w:ascii="宋体" w:hAnsi="宋体" w:cs="宋体"/>
                <w:sz w:val="24"/>
                <w:szCs w:val="24"/>
              </w:rPr>
            </w:pPr>
            <w:r>
              <w:rPr>
                <w:rFonts w:hint="eastAsia" w:ascii="宋体" w:hAnsi="宋体" w:cs="宋体"/>
                <w:spacing w:val="7"/>
                <w:sz w:val="24"/>
                <w:szCs w:val="24"/>
              </w:rPr>
              <w:t>成立时间</w:t>
            </w:r>
          </w:p>
        </w:tc>
        <w:tc>
          <w:tcPr>
            <w:tcW w:w="774" w:type="pct"/>
            <w:gridSpan w:val="2"/>
            <w:tcBorders>
              <w:left w:val="single" w:color="000000" w:sz="4" w:space="0"/>
              <w:right w:val="single" w:color="000000" w:sz="10" w:space="0"/>
            </w:tcBorders>
          </w:tcPr>
          <w:p w14:paraId="6D4BC9C5">
            <w:pPr>
              <w:rPr>
                <w:rFonts w:hint="eastAsia" w:ascii="宋体" w:hAnsi="宋体" w:cs="宋体"/>
                <w:sz w:val="24"/>
                <w:szCs w:val="24"/>
              </w:rPr>
            </w:pPr>
          </w:p>
        </w:tc>
      </w:tr>
      <w:tr w14:paraId="7263A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234" w:type="pct"/>
            <w:tcBorders>
              <w:left w:val="single" w:color="000000" w:sz="10" w:space="0"/>
              <w:right w:val="single" w:color="000000" w:sz="4" w:space="0"/>
            </w:tcBorders>
          </w:tcPr>
          <w:p w14:paraId="01F333E7">
            <w:pPr>
              <w:spacing w:before="230" w:line="229" w:lineRule="auto"/>
              <w:ind w:left="653"/>
              <w:rPr>
                <w:rFonts w:hint="eastAsia" w:ascii="宋体" w:hAnsi="宋体" w:cs="宋体"/>
                <w:sz w:val="24"/>
                <w:szCs w:val="24"/>
              </w:rPr>
            </w:pPr>
            <w:r>
              <w:rPr>
                <w:rFonts w:hint="eastAsia" w:ascii="宋体" w:hAnsi="宋体" w:cs="宋体"/>
                <w:spacing w:val="9"/>
                <w:sz w:val="24"/>
                <w:szCs w:val="24"/>
              </w:rPr>
              <w:t>注</w:t>
            </w:r>
            <w:r>
              <w:rPr>
                <w:rFonts w:hint="eastAsia" w:ascii="宋体" w:hAnsi="宋体" w:cs="宋体"/>
                <w:spacing w:val="7"/>
                <w:sz w:val="24"/>
                <w:szCs w:val="24"/>
              </w:rPr>
              <w:t>册地址</w:t>
            </w:r>
          </w:p>
        </w:tc>
        <w:tc>
          <w:tcPr>
            <w:tcW w:w="1994" w:type="pct"/>
            <w:gridSpan w:val="4"/>
            <w:tcBorders>
              <w:left w:val="single" w:color="000000" w:sz="4" w:space="0"/>
              <w:right w:val="single" w:color="000000" w:sz="4" w:space="0"/>
            </w:tcBorders>
          </w:tcPr>
          <w:p w14:paraId="6A1AE6B4">
            <w:pPr>
              <w:rPr>
                <w:rFonts w:hint="eastAsia" w:ascii="宋体" w:hAnsi="宋体" w:cs="宋体"/>
                <w:sz w:val="24"/>
                <w:szCs w:val="24"/>
              </w:rPr>
            </w:pPr>
          </w:p>
        </w:tc>
        <w:tc>
          <w:tcPr>
            <w:tcW w:w="997" w:type="pct"/>
            <w:gridSpan w:val="2"/>
            <w:tcBorders>
              <w:left w:val="single" w:color="000000" w:sz="4" w:space="0"/>
              <w:right w:val="single" w:color="000000" w:sz="4" w:space="0"/>
            </w:tcBorders>
          </w:tcPr>
          <w:p w14:paraId="251173AB">
            <w:pPr>
              <w:spacing w:before="277" w:line="227" w:lineRule="auto"/>
              <w:ind w:left="459"/>
              <w:rPr>
                <w:rFonts w:hint="eastAsia" w:ascii="宋体" w:hAnsi="宋体" w:cs="宋体"/>
                <w:sz w:val="24"/>
                <w:szCs w:val="24"/>
              </w:rPr>
            </w:pPr>
            <w:r>
              <w:rPr>
                <w:rFonts w:hint="eastAsia" w:ascii="宋体" w:hAnsi="宋体" w:cs="宋体"/>
                <w:spacing w:val="5"/>
                <w:sz w:val="24"/>
                <w:szCs w:val="24"/>
              </w:rPr>
              <w:t>资产总额</w:t>
            </w:r>
          </w:p>
        </w:tc>
        <w:tc>
          <w:tcPr>
            <w:tcW w:w="774" w:type="pct"/>
            <w:gridSpan w:val="2"/>
            <w:tcBorders>
              <w:left w:val="single" w:color="000000" w:sz="4" w:space="0"/>
              <w:right w:val="single" w:color="000000" w:sz="10" w:space="0"/>
            </w:tcBorders>
          </w:tcPr>
          <w:p w14:paraId="298F1D4C">
            <w:pPr>
              <w:rPr>
                <w:rFonts w:hint="eastAsia" w:ascii="宋体" w:hAnsi="宋体" w:cs="宋体"/>
                <w:sz w:val="24"/>
                <w:szCs w:val="24"/>
              </w:rPr>
            </w:pPr>
          </w:p>
        </w:tc>
      </w:tr>
      <w:tr w14:paraId="7E63B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234" w:type="pct"/>
            <w:tcBorders>
              <w:left w:val="single" w:color="000000" w:sz="10" w:space="0"/>
              <w:right w:val="single" w:color="000000" w:sz="4" w:space="0"/>
            </w:tcBorders>
          </w:tcPr>
          <w:p w14:paraId="74E14810">
            <w:pPr>
              <w:spacing w:before="160" w:line="227" w:lineRule="auto"/>
              <w:ind w:left="295"/>
              <w:rPr>
                <w:rFonts w:hint="eastAsia" w:ascii="宋体" w:hAnsi="宋体" w:cs="宋体"/>
                <w:sz w:val="24"/>
                <w:szCs w:val="24"/>
              </w:rPr>
            </w:pPr>
            <w:r>
              <w:rPr>
                <w:rFonts w:hint="eastAsia" w:ascii="宋体" w:hAnsi="宋体" w:cs="宋体"/>
                <w:spacing w:val="10"/>
                <w:sz w:val="24"/>
                <w:szCs w:val="24"/>
              </w:rPr>
              <w:t>上</w:t>
            </w:r>
            <w:r>
              <w:rPr>
                <w:rFonts w:hint="eastAsia" w:ascii="宋体" w:hAnsi="宋体" w:cs="宋体"/>
                <w:spacing w:val="8"/>
                <w:sz w:val="24"/>
                <w:szCs w:val="24"/>
              </w:rPr>
              <w:t>年度营业收入</w:t>
            </w:r>
          </w:p>
        </w:tc>
        <w:tc>
          <w:tcPr>
            <w:tcW w:w="1994" w:type="pct"/>
            <w:gridSpan w:val="4"/>
            <w:tcBorders>
              <w:left w:val="single" w:color="000000" w:sz="4" w:space="0"/>
              <w:right w:val="single" w:color="000000" w:sz="4" w:space="0"/>
            </w:tcBorders>
          </w:tcPr>
          <w:p w14:paraId="01968FF8">
            <w:pPr>
              <w:rPr>
                <w:rFonts w:hint="eastAsia" w:ascii="宋体" w:hAnsi="宋体" w:cs="宋体"/>
                <w:sz w:val="24"/>
                <w:szCs w:val="24"/>
              </w:rPr>
            </w:pPr>
          </w:p>
        </w:tc>
        <w:tc>
          <w:tcPr>
            <w:tcW w:w="997" w:type="pct"/>
            <w:gridSpan w:val="2"/>
            <w:tcBorders>
              <w:left w:val="single" w:color="000000" w:sz="4" w:space="0"/>
              <w:right w:val="single" w:color="000000" w:sz="4" w:space="0"/>
            </w:tcBorders>
          </w:tcPr>
          <w:p w14:paraId="081DBDD7">
            <w:pPr>
              <w:spacing w:before="205" w:line="228" w:lineRule="auto"/>
              <w:ind w:left="449"/>
              <w:rPr>
                <w:rFonts w:hint="eastAsia" w:ascii="宋体" w:hAnsi="宋体" w:cs="宋体"/>
                <w:sz w:val="24"/>
                <w:szCs w:val="24"/>
              </w:rPr>
            </w:pPr>
            <w:r>
              <w:rPr>
                <w:rFonts w:hint="eastAsia" w:ascii="宋体" w:hAnsi="宋体" w:cs="宋体"/>
                <w:spacing w:val="9"/>
                <w:sz w:val="24"/>
                <w:szCs w:val="24"/>
              </w:rPr>
              <w:t>所</w:t>
            </w:r>
            <w:r>
              <w:rPr>
                <w:rFonts w:hint="eastAsia" w:ascii="宋体" w:hAnsi="宋体" w:cs="宋体"/>
                <w:spacing w:val="7"/>
                <w:sz w:val="24"/>
                <w:szCs w:val="24"/>
              </w:rPr>
              <w:t>属行业</w:t>
            </w:r>
          </w:p>
        </w:tc>
        <w:tc>
          <w:tcPr>
            <w:tcW w:w="774" w:type="pct"/>
            <w:gridSpan w:val="2"/>
            <w:tcBorders>
              <w:left w:val="single" w:color="000000" w:sz="4" w:space="0"/>
              <w:right w:val="single" w:color="000000" w:sz="10" w:space="0"/>
            </w:tcBorders>
          </w:tcPr>
          <w:p w14:paraId="7808A30A">
            <w:pPr>
              <w:rPr>
                <w:rFonts w:hint="eastAsia" w:ascii="宋体" w:hAnsi="宋体" w:cs="宋体"/>
                <w:sz w:val="24"/>
                <w:szCs w:val="24"/>
              </w:rPr>
            </w:pPr>
          </w:p>
        </w:tc>
      </w:tr>
      <w:tr w14:paraId="47126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234" w:type="pct"/>
            <w:vMerge w:val="restart"/>
            <w:tcBorders>
              <w:left w:val="single" w:color="000000" w:sz="10" w:space="0"/>
              <w:bottom w:val="nil"/>
              <w:right w:val="single" w:color="000000" w:sz="4" w:space="0"/>
            </w:tcBorders>
          </w:tcPr>
          <w:p w14:paraId="533D4805">
            <w:pPr>
              <w:spacing w:before="170" w:line="274" w:lineRule="auto"/>
              <w:ind w:left="364" w:right="255" w:firstLine="169"/>
              <w:rPr>
                <w:rFonts w:hint="eastAsia" w:ascii="宋体" w:hAnsi="宋体" w:cs="宋体"/>
                <w:sz w:val="24"/>
                <w:szCs w:val="24"/>
              </w:rPr>
            </w:pPr>
            <w:r>
              <w:rPr>
                <w:rFonts w:hint="eastAsia" w:ascii="宋体" w:hAnsi="宋体" w:cs="宋体"/>
                <w:spacing w:val="8"/>
                <w:sz w:val="24"/>
                <w:szCs w:val="24"/>
              </w:rPr>
              <w:t>法定代表</w:t>
            </w:r>
            <w:r>
              <w:rPr>
                <w:rFonts w:hint="eastAsia" w:ascii="宋体" w:hAnsi="宋体" w:cs="宋体"/>
                <w:spacing w:val="7"/>
                <w:sz w:val="24"/>
                <w:szCs w:val="24"/>
              </w:rPr>
              <w:t>人</w:t>
            </w:r>
            <w:r>
              <w:rPr>
                <w:rFonts w:hint="eastAsia" w:ascii="宋体" w:hAnsi="宋体" w:cs="宋体"/>
                <w:sz w:val="24"/>
                <w:szCs w:val="24"/>
              </w:rPr>
              <w:t xml:space="preserve">  </w:t>
            </w:r>
            <w:r>
              <w:rPr>
                <w:rFonts w:hint="eastAsia" w:ascii="宋体" w:hAnsi="宋体" w:cs="宋体"/>
                <w:spacing w:val="23"/>
                <w:sz w:val="24"/>
                <w:szCs w:val="24"/>
              </w:rPr>
              <w:t>(</w:t>
            </w:r>
            <w:r>
              <w:rPr>
                <w:rFonts w:hint="eastAsia" w:ascii="宋体" w:hAnsi="宋体" w:cs="宋体"/>
                <w:spacing w:val="20"/>
                <w:sz w:val="24"/>
                <w:szCs w:val="24"/>
              </w:rPr>
              <w:t>单位负责人)</w:t>
            </w:r>
          </w:p>
        </w:tc>
        <w:tc>
          <w:tcPr>
            <w:tcW w:w="611" w:type="pct"/>
            <w:vMerge w:val="restart"/>
            <w:tcBorders>
              <w:left w:val="single" w:color="000000" w:sz="4" w:space="0"/>
              <w:bottom w:val="nil"/>
              <w:right w:val="single" w:color="000000" w:sz="4" w:space="0"/>
            </w:tcBorders>
          </w:tcPr>
          <w:p w14:paraId="7100CFBD">
            <w:pPr>
              <w:spacing w:line="257" w:lineRule="auto"/>
              <w:rPr>
                <w:rFonts w:hint="eastAsia" w:ascii="宋体" w:hAnsi="宋体" w:cs="宋体"/>
                <w:sz w:val="24"/>
                <w:szCs w:val="24"/>
              </w:rPr>
            </w:pPr>
          </w:p>
          <w:p w14:paraId="472E8364">
            <w:pPr>
              <w:spacing w:before="75" w:line="227" w:lineRule="auto"/>
              <w:ind w:left="324"/>
              <w:rPr>
                <w:rFonts w:hint="eastAsia" w:ascii="宋体" w:hAnsi="宋体" w:cs="宋体"/>
                <w:sz w:val="24"/>
                <w:szCs w:val="24"/>
              </w:rPr>
            </w:pPr>
            <w:r>
              <w:rPr>
                <w:rFonts w:hint="eastAsia" w:ascii="宋体" w:hAnsi="宋体" w:cs="宋体"/>
                <w:spacing w:val="5"/>
                <w:sz w:val="24"/>
                <w:szCs w:val="24"/>
              </w:rPr>
              <w:t>姓名</w:t>
            </w:r>
          </w:p>
        </w:tc>
        <w:tc>
          <w:tcPr>
            <w:tcW w:w="767" w:type="pct"/>
            <w:vMerge w:val="restart"/>
            <w:tcBorders>
              <w:left w:val="single" w:color="000000" w:sz="4" w:space="0"/>
              <w:bottom w:val="nil"/>
              <w:right w:val="single" w:color="000000" w:sz="4" w:space="0"/>
            </w:tcBorders>
          </w:tcPr>
          <w:p w14:paraId="5E736560">
            <w:pPr>
              <w:rPr>
                <w:rFonts w:hint="eastAsia" w:ascii="宋体" w:hAnsi="宋体" w:cs="宋体"/>
                <w:sz w:val="24"/>
                <w:szCs w:val="24"/>
              </w:rPr>
            </w:pPr>
          </w:p>
        </w:tc>
        <w:tc>
          <w:tcPr>
            <w:tcW w:w="614" w:type="pct"/>
            <w:gridSpan w:val="2"/>
            <w:vMerge w:val="restart"/>
            <w:tcBorders>
              <w:left w:val="single" w:color="000000" w:sz="4" w:space="0"/>
              <w:bottom w:val="nil"/>
              <w:right w:val="single" w:color="000000" w:sz="4" w:space="0"/>
            </w:tcBorders>
          </w:tcPr>
          <w:p w14:paraId="0C04E9BF">
            <w:pPr>
              <w:spacing w:line="256" w:lineRule="auto"/>
              <w:rPr>
                <w:rFonts w:hint="eastAsia" w:ascii="宋体" w:hAnsi="宋体" w:cs="宋体"/>
                <w:sz w:val="24"/>
                <w:szCs w:val="24"/>
              </w:rPr>
            </w:pPr>
          </w:p>
          <w:p w14:paraId="3387FE02">
            <w:pPr>
              <w:spacing w:before="75" w:line="230" w:lineRule="auto"/>
              <w:ind w:left="359"/>
              <w:rPr>
                <w:rFonts w:hint="eastAsia" w:ascii="宋体" w:hAnsi="宋体" w:cs="宋体"/>
                <w:sz w:val="24"/>
                <w:szCs w:val="24"/>
              </w:rPr>
            </w:pPr>
            <w:r>
              <w:rPr>
                <w:rFonts w:hint="eastAsia" w:ascii="宋体" w:hAnsi="宋体" w:cs="宋体"/>
                <w:spacing w:val="-10"/>
                <w:sz w:val="24"/>
                <w:szCs w:val="24"/>
              </w:rPr>
              <w:t>电</w:t>
            </w:r>
            <w:r>
              <w:rPr>
                <w:rFonts w:hint="eastAsia" w:ascii="宋体" w:hAnsi="宋体" w:cs="宋体"/>
                <w:spacing w:val="-8"/>
                <w:sz w:val="24"/>
                <w:szCs w:val="24"/>
              </w:rPr>
              <w:t>话</w:t>
            </w:r>
          </w:p>
        </w:tc>
        <w:tc>
          <w:tcPr>
            <w:tcW w:w="997" w:type="pct"/>
            <w:gridSpan w:val="2"/>
            <w:tcBorders>
              <w:left w:val="single" w:color="000000" w:sz="4" w:space="0"/>
              <w:right w:val="single" w:color="000000" w:sz="4" w:space="0"/>
            </w:tcBorders>
          </w:tcPr>
          <w:p w14:paraId="0328605B">
            <w:pPr>
              <w:spacing w:before="150" w:line="227" w:lineRule="auto"/>
              <w:ind w:left="689"/>
              <w:rPr>
                <w:rFonts w:hint="eastAsia" w:ascii="宋体" w:hAnsi="宋体" w:cs="宋体"/>
                <w:sz w:val="24"/>
                <w:szCs w:val="24"/>
              </w:rPr>
            </w:pPr>
            <w:r>
              <w:rPr>
                <w:rFonts w:hint="eastAsia" w:ascii="宋体" w:hAnsi="宋体" w:cs="宋体"/>
                <w:spacing w:val="5"/>
                <w:sz w:val="24"/>
                <w:szCs w:val="24"/>
              </w:rPr>
              <w:t>手机</w:t>
            </w:r>
          </w:p>
        </w:tc>
        <w:tc>
          <w:tcPr>
            <w:tcW w:w="774" w:type="pct"/>
            <w:gridSpan w:val="2"/>
            <w:tcBorders>
              <w:left w:val="single" w:color="000000" w:sz="4" w:space="0"/>
              <w:right w:val="single" w:color="000000" w:sz="10" w:space="0"/>
            </w:tcBorders>
          </w:tcPr>
          <w:p w14:paraId="3F053D6E">
            <w:pPr>
              <w:rPr>
                <w:rFonts w:hint="eastAsia" w:ascii="宋体" w:hAnsi="宋体" w:cs="宋体"/>
                <w:sz w:val="24"/>
                <w:szCs w:val="24"/>
              </w:rPr>
            </w:pPr>
          </w:p>
        </w:tc>
      </w:tr>
      <w:tr w14:paraId="5E3BA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234" w:type="pct"/>
            <w:vMerge w:val="continue"/>
            <w:tcBorders>
              <w:top w:val="nil"/>
              <w:left w:val="single" w:color="000000" w:sz="10" w:space="0"/>
              <w:right w:val="single" w:color="000000" w:sz="4" w:space="0"/>
            </w:tcBorders>
          </w:tcPr>
          <w:p w14:paraId="28B4A863">
            <w:pPr>
              <w:rPr>
                <w:rFonts w:hint="eastAsia" w:ascii="宋体" w:hAnsi="宋体" w:cs="宋体"/>
                <w:sz w:val="24"/>
                <w:szCs w:val="24"/>
              </w:rPr>
            </w:pPr>
          </w:p>
        </w:tc>
        <w:tc>
          <w:tcPr>
            <w:tcW w:w="611" w:type="pct"/>
            <w:vMerge w:val="continue"/>
            <w:tcBorders>
              <w:top w:val="nil"/>
              <w:left w:val="single" w:color="000000" w:sz="4" w:space="0"/>
              <w:right w:val="single" w:color="000000" w:sz="4" w:space="0"/>
            </w:tcBorders>
          </w:tcPr>
          <w:p w14:paraId="35AC9F3A">
            <w:pPr>
              <w:rPr>
                <w:rFonts w:hint="eastAsia" w:ascii="宋体" w:hAnsi="宋体" w:cs="宋体"/>
                <w:sz w:val="24"/>
                <w:szCs w:val="24"/>
              </w:rPr>
            </w:pPr>
          </w:p>
        </w:tc>
        <w:tc>
          <w:tcPr>
            <w:tcW w:w="767" w:type="pct"/>
            <w:vMerge w:val="continue"/>
            <w:tcBorders>
              <w:top w:val="nil"/>
              <w:left w:val="single" w:color="000000" w:sz="4" w:space="0"/>
              <w:right w:val="single" w:color="000000" w:sz="4" w:space="0"/>
            </w:tcBorders>
          </w:tcPr>
          <w:p w14:paraId="3A6555ED">
            <w:pPr>
              <w:rPr>
                <w:rFonts w:hint="eastAsia" w:ascii="宋体" w:hAnsi="宋体" w:cs="宋体"/>
                <w:sz w:val="24"/>
                <w:szCs w:val="24"/>
              </w:rPr>
            </w:pPr>
          </w:p>
        </w:tc>
        <w:tc>
          <w:tcPr>
            <w:tcW w:w="614" w:type="pct"/>
            <w:gridSpan w:val="2"/>
            <w:vMerge w:val="continue"/>
            <w:tcBorders>
              <w:top w:val="nil"/>
              <w:left w:val="single" w:color="000000" w:sz="4" w:space="0"/>
              <w:right w:val="single" w:color="000000" w:sz="4" w:space="0"/>
            </w:tcBorders>
          </w:tcPr>
          <w:p w14:paraId="5C9E477A">
            <w:pPr>
              <w:rPr>
                <w:rFonts w:hint="eastAsia" w:ascii="宋体" w:hAnsi="宋体" w:cs="宋体"/>
                <w:sz w:val="24"/>
                <w:szCs w:val="24"/>
              </w:rPr>
            </w:pPr>
          </w:p>
        </w:tc>
        <w:tc>
          <w:tcPr>
            <w:tcW w:w="997" w:type="pct"/>
            <w:gridSpan w:val="2"/>
            <w:tcBorders>
              <w:left w:val="single" w:color="000000" w:sz="4" w:space="0"/>
              <w:right w:val="single" w:color="000000" w:sz="4" w:space="0"/>
            </w:tcBorders>
          </w:tcPr>
          <w:p w14:paraId="3F29001E">
            <w:pPr>
              <w:spacing w:before="152" w:line="227" w:lineRule="auto"/>
              <w:ind w:left="694"/>
              <w:rPr>
                <w:rFonts w:hint="eastAsia" w:ascii="宋体" w:hAnsi="宋体" w:cs="宋体"/>
                <w:sz w:val="24"/>
                <w:szCs w:val="24"/>
              </w:rPr>
            </w:pPr>
            <w:r>
              <w:rPr>
                <w:rFonts w:hint="eastAsia" w:ascii="宋体" w:hAnsi="宋体" w:cs="宋体"/>
                <w:spacing w:val="3"/>
                <w:sz w:val="24"/>
                <w:szCs w:val="24"/>
              </w:rPr>
              <w:t>办</w:t>
            </w:r>
            <w:r>
              <w:rPr>
                <w:rFonts w:hint="eastAsia" w:ascii="宋体" w:hAnsi="宋体" w:cs="宋体"/>
                <w:spacing w:val="2"/>
                <w:sz w:val="24"/>
                <w:szCs w:val="24"/>
              </w:rPr>
              <w:t>公</w:t>
            </w:r>
          </w:p>
        </w:tc>
        <w:tc>
          <w:tcPr>
            <w:tcW w:w="774" w:type="pct"/>
            <w:gridSpan w:val="2"/>
            <w:tcBorders>
              <w:left w:val="single" w:color="000000" w:sz="4" w:space="0"/>
              <w:right w:val="single" w:color="000000" w:sz="10" w:space="0"/>
            </w:tcBorders>
          </w:tcPr>
          <w:p w14:paraId="22F64ED9">
            <w:pPr>
              <w:rPr>
                <w:rFonts w:hint="eastAsia" w:ascii="宋体" w:hAnsi="宋体" w:cs="宋体"/>
                <w:sz w:val="24"/>
                <w:szCs w:val="24"/>
              </w:rPr>
            </w:pPr>
          </w:p>
        </w:tc>
      </w:tr>
      <w:tr w14:paraId="2CF29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234" w:type="pct"/>
            <w:vMerge w:val="restart"/>
            <w:tcBorders>
              <w:left w:val="single" w:color="000000" w:sz="10" w:space="0"/>
              <w:bottom w:val="nil"/>
              <w:right w:val="single" w:color="000000" w:sz="4" w:space="0"/>
            </w:tcBorders>
            <w:vAlign w:val="center"/>
          </w:tcPr>
          <w:p w14:paraId="327828B4">
            <w:pPr>
              <w:spacing w:before="75" w:line="227" w:lineRule="auto"/>
              <w:ind w:left="412"/>
              <w:rPr>
                <w:rFonts w:hint="eastAsia" w:ascii="宋体" w:hAnsi="宋体" w:cs="宋体"/>
                <w:sz w:val="24"/>
                <w:szCs w:val="24"/>
              </w:rPr>
            </w:pPr>
            <w:r>
              <w:rPr>
                <w:rFonts w:hint="eastAsia" w:ascii="宋体" w:hAnsi="宋体" w:cs="宋体"/>
                <w:spacing w:val="11"/>
                <w:sz w:val="24"/>
                <w:szCs w:val="24"/>
              </w:rPr>
              <w:t>业</w:t>
            </w:r>
            <w:r>
              <w:rPr>
                <w:rFonts w:hint="eastAsia" w:ascii="宋体" w:hAnsi="宋体" w:cs="宋体"/>
                <w:spacing w:val="8"/>
                <w:sz w:val="24"/>
                <w:szCs w:val="24"/>
              </w:rPr>
              <w:t>务联系方式</w:t>
            </w:r>
          </w:p>
        </w:tc>
        <w:tc>
          <w:tcPr>
            <w:tcW w:w="611" w:type="pct"/>
            <w:vMerge w:val="restart"/>
            <w:tcBorders>
              <w:left w:val="single" w:color="000000" w:sz="4" w:space="0"/>
              <w:bottom w:val="nil"/>
              <w:right w:val="single" w:color="000000" w:sz="4" w:space="0"/>
            </w:tcBorders>
            <w:vAlign w:val="center"/>
          </w:tcPr>
          <w:p w14:paraId="46BE4487">
            <w:pPr>
              <w:spacing w:before="75" w:line="230" w:lineRule="auto"/>
              <w:ind w:left="205"/>
              <w:rPr>
                <w:rFonts w:hint="eastAsia" w:ascii="宋体" w:hAnsi="宋体" w:cs="宋体"/>
                <w:sz w:val="24"/>
                <w:szCs w:val="24"/>
              </w:rPr>
            </w:pPr>
            <w:r>
              <w:rPr>
                <w:rFonts w:hint="eastAsia" w:ascii="宋体" w:hAnsi="宋体" w:cs="宋体"/>
                <w:spacing w:val="7"/>
                <w:sz w:val="24"/>
                <w:szCs w:val="24"/>
              </w:rPr>
              <w:t>联</w:t>
            </w:r>
            <w:r>
              <w:rPr>
                <w:rFonts w:hint="eastAsia" w:ascii="宋体" w:hAnsi="宋体" w:cs="宋体"/>
                <w:spacing w:val="6"/>
                <w:sz w:val="24"/>
                <w:szCs w:val="24"/>
              </w:rPr>
              <w:t>系人</w:t>
            </w:r>
          </w:p>
        </w:tc>
        <w:tc>
          <w:tcPr>
            <w:tcW w:w="767" w:type="pct"/>
            <w:vMerge w:val="restart"/>
            <w:tcBorders>
              <w:left w:val="single" w:color="000000" w:sz="4" w:space="0"/>
              <w:bottom w:val="nil"/>
              <w:right w:val="single" w:color="000000" w:sz="4" w:space="0"/>
            </w:tcBorders>
          </w:tcPr>
          <w:p w14:paraId="0C57BF4B">
            <w:pPr>
              <w:rPr>
                <w:rFonts w:hint="eastAsia" w:ascii="宋体" w:hAnsi="宋体" w:cs="宋体"/>
                <w:sz w:val="24"/>
                <w:szCs w:val="24"/>
              </w:rPr>
            </w:pPr>
          </w:p>
        </w:tc>
        <w:tc>
          <w:tcPr>
            <w:tcW w:w="614" w:type="pct"/>
            <w:gridSpan w:val="2"/>
            <w:tcBorders>
              <w:left w:val="single" w:color="000000" w:sz="4" w:space="0"/>
              <w:right w:val="single" w:color="000000" w:sz="4" w:space="0"/>
            </w:tcBorders>
          </w:tcPr>
          <w:p w14:paraId="1D526854">
            <w:pPr>
              <w:spacing w:before="104" w:line="230" w:lineRule="auto"/>
              <w:ind w:left="359"/>
              <w:rPr>
                <w:rFonts w:hint="eastAsia" w:ascii="宋体" w:hAnsi="宋体" w:cs="宋体"/>
                <w:sz w:val="24"/>
                <w:szCs w:val="24"/>
              </w:rPr>
            </w:pPr>
            <w:r>
              <w:rPr>
                <w:rFonts w:hint="eastAsia" w:ascii="宋体" w:hAnsi="宋体" w:cs="宋体"/>
                <w:spacing w:val="-10"/>
                <w:sz w:val="24"/>
                <w:szCs w:val="24"/>
              </w:rPr>
              <w:t>电</w:t>
            </w:r>
            <w:r>
              <w:rPr>
                <w:rFonts w:hint="eastAsia" w:ascii="宋体" w:hAnsi="宋体" w:cs="宋体"/>
                <w:spacing w:val="-8"/>
                <w:sz w:val="24"/>
                <w:szCs w:val="24"/>
              </w:rPr>
              <w:t>话</w:t>
            </w:r>
          </w:p>
        </w:tc>
        <w:tc>
          <w:tcPr>
            <w:tcW w:w="1771" w:type="pct"/>
            <w:gridSpan w:val="4"/>
            <w:tcBorders>
              <w:left w:val="single" w:color="000000" w:sz="4" w:space="0"/>
              <w:right w:val="single" w:color="000000" w:sz="10" w:space="0"/>
            </w:tcBorders>
          </w:tcPr>
          <w:p w14:paraId="7D792E50">
            <w:pPr>
              <w:rPr>
                <w:rFonts w:hint="eastAsia" w:ascii="宋体" w:hAnsi="宋体" w:cs="宋体"/>
                <w:sz w:val="24"/>
                <w:szCs w:val="24"/>
              </w:rPr>
            </w:pPr>
          </w:p>
        </w:tc>
      </w:tr>
      <w:tr w14:paraId="78706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234" w:type="pct"/>
            <w:vMerge w:val="continue"/>
            <w:tcBorders>
              <w:top w:val="nil"/>
              <w:left w:val="single" w:color="000000" w:sz="10" w:space="0"/>
              <w:right w:val="single" w:color="000000" w:sz="4" w:space="0"/>
            </w:tcBorders>
          </w:tcPr>
          <w:p w14:paraId="72A68DF9">
            <w:pPr>
              <w:rPr>
                <w:rFonts w:hint="eastAsia" w:ascii="宋体" w:hAnsi="宋体" w:cs="宋体"/>
                <w:sz w:val="24"/>
                <w:szCs w:val="24"/>
              </w:rPr>
            </w:pPr>
          </w:p>
        </w:tc>
        <w:tc>
          <w:tcPr>
            <w:tcW w:w="611" w:type="pct"/>
            <w:vMerge w:val="continue"/>
            <w:tcBorders>
              <w:top w:val="nil"/>
              <w:left w:val="single" w:color="000000" w:sz="4" w:space="0"/>
              <w:right w:val="single" w:color="000000" w:sz="4" w:space="0"/>
            </w:tcBorders>
          </w:tcPr>
          <w:p w14:paraId="7AA17234">
            <w:pPr>
              <w:rPr>
                <w:rFonts w:hint="eastAsia" w:ascii="宋体" w:hAnsi="宋体" w:cs="宋体"/>
                <w:sz w:val="24"/>
                <w:szCs w:val="24"/>
              </w:rPr>
            </w:pPr>
          </w:p>
        </w:tc>
        <w:tc>
          <w:tcPr>
            <w:tcW w:w="767" w:type="pct"/>
            <w:vMerge w:val="continue"/>
            <w:tcBorders>
              <w:top w:val="nil"/>
              <w:left w:val="single" w:color="000000" w:sz="4" w:space="0"/>
              <w:right w:val="single" w:color="000000" w:sz="4" w:space="0"/>
            </w:tcBorders>
          </w:tcPr>
          <w:p w14:paraId="1EA732B3">
            <w:pPr>
              <w:rPr>
                <w:rFonts w:hint="eastAsia" w:ascii="宋体" w:hAnsi="宋体" w:cs="宋体"/>
                <w:sz w:val="24"/>
                <w:szCs w:val="24"/>
              </w:rPr>
            </w:pPr>
          </w:p>
        </w:tc>
        <w:tc>
          <w:tcPr>
            <w:tcW w:w="614" w:type="pct"/>
            <w:gridSpan w:val="2"/>
            <w:tcBorders>
              <w:left w:val="single" w:color="000000" w:sz="4" w:space="0"/>
              <w:right w:val="single" w:color="000000" w:sz="4" w:space="0"/>
            </w:tcBorders>
          </w:tcPr>
          <w:p w14:paraId="0F50AF9B">
            <w:pPr>
              <w:spacing w:before="106" w:line="228" w:lineRule="auto"/>
              <w:ind w:left="349"/>
              <w:rPr>
                <w:rFonts w:hint="eastAsia" w:ascii="宋体" w:hAnsi="宋体" w:cs="宋体"/>
                <w:sz w:val="24"/>
                <w:szCs w:val="24"/>
              </w:rPr>
            </w:pPr>
            <w:r>
              <w:rPr>
                <w:rFonts w:hint="eastAsia" w:ascii="宋体" w:hAnsi="宋体" w:cs="宋体"/>
                <w:spacing w:val="-5"/>
                <w:sz w:val="24"/>
                <w:szCs w:val="24"/>
              </w:rPr>
              <w:t>邮</w:t>
            </w:r>
            <w:r>
              <w:rPr>
                <w:rFonts w:hint="eastAsia" w:ascii="宋体" w:hAnsi="宋体" w:cs="宋体"/>
                <w:spacing w:val="-3"/>
                <w:sz w:val="24"/>
                <w:szCs w:val="24"/>
              </w:rPr>
              <w:t>箱</w:t>
            </w:r>
          </w:p>
        </w:tc>
        <w:tc>
          <w:tcPr>
            <w:tcW w:w="1771" w:type="pct"/>
            <w:gridSpan w:val="4"/>
            <w:tcBorders>
              <w:left w:val="single" w:color="000000" w:sz="4" w:space="0"/>
              <w:right w:val="single" w:color="000000" w:sz="10" w:space="0"/>
            </w:tcBorders>
          </w:tcPr>
          <w:p w14:paraId="256D9817">
            <w:pPr>
              <w:rPr>
                <w:rFonts w:hint="eastAsia" w:ascii="宋体" w:hAnsi="宋体" w:cs="宋体"/>
                <w:sz w:val="24"/>
                <w:szCs w:val="24"/>
              </w:rPr>
            </w:pPr>
          </w:p>
        </w:tc>
      </w:tr>
      <w:tr w14:paraId="66CA5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234" w:type="pct"/>
            <w:tcBorders>
              <w:left w:val="single" w:color="000000" w:sz="10" w:space="0"/>
              <w:right w:val="single" w:color="000000" w:sz="4" w:space="0"/>
            </w:tcBorders>
          </w:tcPr>
          <w:p w14:paraId="0B64B3B1">
            <w:pPr>
              <w:spacing w:before="238" w:line="227" w:lineRule="auto"/>
              <w:ind w:left="173"/>
              <w:rPr>
                <w:rFonts w:hint="eastAsia" w:ascii="宋体" w:hAnsi="宋体" w:cs="宋体"/>
                <w:sz w:val="24"/>
                <w:szCs w:val="24"/>
              </w:rPr>
            </w:pPr>
            <w:r>
              <w:rPr>
                <w:rFonts w:hint="eastAsia" w:ascii="宋体" w:hAnsi="宋体" w:cs="宋体"/>
                <w:spacing w:val="9"/>
                <w:sz w:val="24"/>
                <w:szCs w:val="24"/>
              </w:rPr>
              <w:t>基本账户开户银</w:t>
            </w:r>
            <w:r>
              <w:rPr>
                <w:rFonts w:hint="eastAsia" w:ascii="宋体" w:hAnsi="宋体" w:cs="宋体"/>
                <w:spacing w:val="7"/>
                <w:sz w:val="24"/>
                <w:szCs w:val="24"/>
              </w:rPr>
              <w:t>行</w:t>
            </w:r>
          </w:p>
        </w:tc>
        <w:tc>
          <w:tcPr>
            <w:tcW w:w="1379" w:type="pct"/>
            <w:gridSpan w:val="2"/>
            <w:tcBorders>
              <w:left w:val="single" w:color="000000" w:sz="4" w:space="0"/>
              <w:right w:val="single" w:color="000000" w:sz="4" w:space="0"/>
            </w:tcBorders>
          </w:tcPr>
          <w:p w14:paraId="314E3696">
            <w:pPr>
              <w:rPr>
                <w:rFonts w:hint="eastAsia" w:ascii="宋体" w:hAnsi="宋体" w:cs="宋体"/>
                <w:sz w:val="24"/>
                <w:szCs w:val="24"/>
              </w:rPr>
            </w:pPr>
          </w:p>
        </w:tc>
        <w:tc>
          <w:tcPr>
            <w:tcW w:w="1227" w:type="pct"/>
            <w:gridSpan w:val="3"/>
            <w:tcBorders>
              <w:left w:val="single" w:color="000000" w:sz="4" w:space="0"/>
              <w:right w:val="single" w:color="000000" w:sz="4" w:space="0"/>
            </w:tcBorders>
          </w:tcPr>
          <w:p w14:paraId="2090F58E">
            <w:pPr>
              <w:spacing w:before="284" w:line="227" w:lineRule="auto"/>
              <w:ind w:left="180"/>
              <w:rPr>
                <w:rFonts w:hint="eastAsia" w:ascii="宋体" w:hAnsi="宋体" w:cs="宋体"/>
                <w:sz w:val="24"/>
                <w:szCs w:val="24"/>
              </w:rPr>
            </w:pPr>
            <w:r>
              <w:rPr>
                <w:rFonts w:hint="eastAsia" w:ascii="宋体" w:hAnsi="宋体" w:cs="宋体"/>
                <w:spacing w:val="9"/>
                <w:sz w:val="24"/>
                <w:szCs w:val="24"/>
              </w:rPr>
              <w:t>基本账户开户银</w:t>
            </w:r>
            <w:r>
              <w:rPr>
                <w:rFonts w:hint="eastAsia" w:ascii="宋体" w:hAnsi="宋体" w:cs="宋体"/>
                <w:spacing w:val="7"/>
                <w:sz w:val="24"/>
                <w:szCs w:val="24"/>
              </w:rPr>
              <w:t>行账号</w:t>
            </w:r>
          </w:p>
        </w:tc>
        <w:tc>
          <w:tcPr>
            <w:tcW w:w="1158" w:type="pct"/>
            <w:gridSpan w:val="3"/>
            <w:tcBorders>
              <w:left w:val="single" w:color="000000" w:sz="4" w:space="0"/>
              <w:right w:val="single" w:color="000000" w:sz="10" w:space="0"/>
            </w:tcBorders>
          </w:tcPr>
          <w:p w14:paraId="742912FD">
            <w:pPr>
              <w:rPr>
                <w:rFonts w:hint="eastAsia" w:ascii="宋体" w:hAnsi="宋体" w:cs="宋体"/>
                <w:sz w:val="24"/>
                <w:szCs w:val="24"/>
              </w:rPr>
            </w:pPr>
          </w:p>
        </w:tc>
      </w:tr>
      <w:tr w14:paraId="6975F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234" w:type="pct"/>
            <w:tcBorders>
              <w:left w:val="single" w:color="000000" w:sz="10" w:space="0"/>
              <w:right w:val="single" w:color="000000" w:sz="4" w:space="0"/>
            </w:tcBorders>
            <w:vAlign w:val="center"/>
          </w:tcPr>
          <w:p w14:paraId="7C34D7FA">
            <w:pPr>
              <w:spacing w:before="75" w:line="228" w:lineRule="auto"/>
              <w:ind w:left="655"/>
              <w:rPr>
                <w:rFonts w:hint="eastAsia" w:ascii="宋体" w:hAnsi="宋体" w:cs="宋体"/>
                <w:sz w:val="24"/>
                <w:szCs w:val="24"/>
              </w:rPr>
            </w:pPr>
            <w:r>
              <w:rPr>
                <w:rFonts w:hint="eastAsia" w:ascii="宋体" w:hAnsi="宋体" w:cs="宋体"/>
                <w:spacing w:val="7"/>
                <w:sz w:val="24"/>
                <w:szCs w:val="24"/>
              </w:rPr>
              <w:t>经营范围</w:t>
            </w:r>
          </w:p>
        </w:tc>
        <w:tc>
          <w:tcPr>
            <w:tcW w:w="3765" w:type="pct"/>
            <w:gridSpan w:val="8"/>
            <w:tcBorders>
              <w:left w:val="single" w:color="000000" w:sz="4" w:space="0"/>
              <w:right w:val="single" w:color="000000" w:sz="10" w:space="0"/>
            </w:tcBorders>
          </w:tcPr>
          <w:p w14:paraId="124E85F6">
            <w:pPr>
              <w:rPr>
                <w:rFonts w:hint="eastAsia" w:ascii="宋体" w:hAnsi="宋体" w:cs="宋体"/>
                <w:sz w:val="24"/>
                <w:szCs w:val="24"/>
              </w:rPr>
            </w:pPr>
          </w:p>
        </w:tc>
      </w:tr>
      <w:tr w14:paraId="4E5E0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trPr>
        <w:tc>
          <w:tcPr>
            <w:tcW w:w="1234" w:type="pct"/>
            <w:tcBorders>
              <w:left w:val="single" w:color="000000" w:sz="10" w:space="0"/>
              <w:right w:val="single" w:color="000000" w:sz="4" w:space="0"/>
            </w:tcBorders>
          </w:tcPr>
          <w:p w14:paraId="6D8AC8ED">
            <w:pPr>
              <w:spacing w:before="90" w:line="227" w:lineRule="auto"/>
              <w:ind w:left="173"/>
              <w:rPr>
                <w:rFonts w:hint="eastAsia" w:ascii="宋体" w:hAnsi="宋体" w:cs="宋体"/>
                <w:sz w:val="24"/>
                <w:szCs w:val="24"/>
              </w:rPr>
            </w:pPr>
            <w:r>
              <w:rPr>
                <w:rFonts w:hint="eastAsia" w:ascii="宋体" w:hAnsi="宋体" w:cs="宋体"/>
                <w:spacing w:val="9"/>
                <w:sz w:val="24"/>
                <w:szCs w:val="24"/>
              </w:rPr>
              <w:t>所获得资质及等</w:t>
            </w:r>
            <w:r>
              <w:rPr>
                <w:rFonts w:hint="eastAsia" w:ascii="宋体" w:hAnsi="宋体" w:cs="宋体"/>
                <w:spacing w:val="7"/>
                <w:sz w:val="24"/>
                <w:szCs w:val="24"/>
              </w:rPr>
              <w:t>级</w:t>
            </w:r>
          </w:p>
          <w:p w14:paraId="004B28DC">
            <w:pPr>
              <w:spacing w:before="77" w:line="227" w:lineRule="auto"/>
              <w:ind w:left="275"/>
              <w:rPr>
                <w:rFonts w:hint="eastAsia" w:ascii="宋体" w:hAnsi="宋体" w:cs="宋体"/>
                <w:sz w:val="24"/>
                <w:szCs w:val="24"/>
              </w:rPr>
            </w:pPr>
            <w:r>
              <w:rPr>
                <w:rFonts w:hint="eastAsia" w:ascii="宋体" w:hAnsi="宋体" w:cs="宋体"/>
                <w:spacing w:val="3"/>
                <w:sz w:val="24"/>
                <w:szCs w:val="24"/>
              </w:rPr>
              <w:t>(国家行政部门</w:t>
            </w:r>
            <w:r>
              <w:rPr>
                <w:rFonts w:hint="eastAsia" w:ascii="宋体" w:hAnsi="宋体" w:cs="宋体"/>
                <w:spacing w:val="2"/>
                <w:sz w:val="24"/>
                <w:szCs w:val="24"/>
              </w:rPr>
              <w:t>颁</w:t>
            </w:r>
            <w:r>
              <w:rPr>
                <w:rFonts w:hint="eastAsia" w:ascii="宋体" w:hAnsi="宋体" w:cs="宋体"/>
                <w:spacing w:val="1"/>
                <w:sz w:val="24"/>
                <w:szCs w:val="24"/>
              </w:rPr>
              <w:t>发</w:t>
            </w:r>
            <w:r>
              <w:rPr>
                <w:rFonts w:hint="eastAsia" w:ascii="宋体" w:hAnsi="宋体" w:cs="宋体"/>
                <w:sz w:val="24"/>
                <w:szCs w:val="24"/>
              </w:rPr>
              <w:t>)</w:t>
            </w:r>
          </w:p>
        </w:tc>
        <w:tc>
          <w:tcPr>
            <w:tcW w:w="3765" w:type="pct"/>
            <w:gridSpan w:val="8"/>
            <w:tcBorders>
              <w:left w:val="single" w:color="000000" w:sz="4" w:space="0"/>
              <w:right w:val="single" w:color="000000" w:sz="10" w:space="0"/>
            </w:tcBorders>
          </w:tcPr>
          <w:p w14:paraId="5E6B1DAB">
            <w:pPr>
              <w:rPr>
                <w:rFonts w:hint="eastAsia" w:ascii="宋体" w:hAnsi="宋体" w:cs="宋体"/>
                <w:sz w:val="24"/>
                <w:szCs w:val="24"/>
              </w:rPr>
            </w:pPr>
          </w:p>
        </w:tc>
      </w:tr>
      <w:tr w14:paraId="5933F8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000" w:type="pct"/>
            <w:gridSpan w:val="9"/>
            <w:tcBorders>
              <w:left w:val="single" w:color="000000" w:sz="10" w:space="0"/>
              <w:right w:val="single" w:color="000000" w:sz="10" w:space="0"/>
            </w:tcBorders>
            <w:shd w:val="clear" w:color="auto" w:fill="F1F1F1"/>
          </w:tcPr>
          <w:p w14:paraId="0848500F">
            <w:pPr>
              <w:spacing w:before="222" w:line="228" w:lineRule="auto"/>
              <w:ind w:left="4128"/>
              <w:rPr>
                <w:rFonts w:hint="eastAsia" w:ascii="宋体" w:hAnsi="宋体" w:cs="宋体"/>
                <w:sz w:val="24"/>
                <w:szCs w:val="24"/>
              </w:rPr>
            </w:pPr>
            <w:r>
              <w:rPr>
                <w:rFonts w:hint="eastAsia" w:ascii="宋体" w:hAnsi="宋体" w:cs="宋体"/>
                <w:spacing w:val="7"/>
                <w:sz w:val="24"/>
                <w:szCs w:val="24"/>
              </w:rPr>
              <w:t>人员情况</w:t>
            </w:r>
          </w:p>
        </w:tc>
      </w:tr>
      <w:tr w14:paraId="67A09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1234" w:type="pct"/>
            <w:vMerge w:val="restart"/>
            <w:tcBorders>
              <w:left w:val="single" w:color="000000" w:sz="10" w:space="0"/>
              <w:bottom w:val="nil"/>
              <w:right w:val="single" w:color="000000" w:sz="4" w:space="0"/>
            </w:tcBorders>
          </w:tcPr>
          <w:p w14:paraId="39E2C0F8">
            <w:pPr>
              <w:spacing w:line="354" w:lineRule="auto"/>
              <w:rPr>
                <w:rFonts w:hint="eastAsia" w:ascii="宋体" w:hAnsi="宋体" w:cs="宋体"/>
                <w:sz w:val="24"/>
                <w:szCs w:val="24"/>
              </w:rPr>
            </w:pPr>
          </w:p>
          <w:p w14:paraId="4B11CE7F">
            <w:pPr>
              <w:spacing w:before="75" w:line="227" w:lineRule="auto"/>
              <w:ind w:left="416"/>
              <w:rPr>
                <w:rFonts w:hint="eastAsia" w:ascii="宋体" w:hAnsi="宋体" w:cs="宋体"/>
                <w:sz w:val="24"/>
                <w:szCs w:val="24"/>
              </w:rPr>
            </w:pPr>
            <w:r>
              <w:rPr>
                <w:rFonts w:hint="eastAsia" w:ascii="宋体" w:hAnsi="宋体" w:cs="宋体"/>
                <w:spacing w:val="8"/>
                <w:sz w:val="24"/>
                <w:szCs w:val="24"/>
              </w:rPr>
              <w:t>从业人员总</w:t>
            </w:r>
            <w:r>
              <w:rPr>
                <w:rFonts w:hint="eastAsia" w:ascii="宋体" w:hAnsi="宋体" w:cs="宋体"/>
                <w:spacing w:val="7"/>
                <w:sz w:val="24"/>
                <w:szCs w:val="24"/>
              </w:rPr>
              <w:t>数</w:t>
            </w:r>
          </w:p>
        </w:tc>
        <w:tc>
          <w:tcPr>
            <w:tcW w:w="611" w:type="pct"/>
            <w:vMerge w:val="restart"/>
            <w:tcBorders>
              <w:left w:val="single" w:color="000000" w:sz="4" w:space="0"/>
              <w:bottom w:val="nil"/>
              <w:right w:val="single" w:color="000000" w:sz="4" w:space="0"/>
            </w:tcBorders>
          </w:tcPr>
          <w:p w14:paraId="052BC744">
            <w:pPr>
              <w:rPr>
                <w:rFonts w:hint="eastAsia" w:ascii="宋体" w:hAnsi="宋体" w:cs="宋体"/>
                <w:sz w:val="24"/>
                <w:szCs w:val="24"/>
              </w:rPr>
            </w:pPr>
          </w:p>
        </w:tc>
        <w:tc>
          <w:tcPr>
            <w:tcW w:w="921" w:type="pct"/>
            <w:gridSpan w:val="2"/>
            <w:tcBorders>
              <w:left w:val="single" w:color="000000" w:sz="4" w:space="0"/>
              <w:right w:val="single" w:color="000000" w:sz="4" w:space="0"/>
            </w:tcBorders>
          </w:tcPr>
          <w:p w14:paraId="7B88291B">
            <w:pPr>
              <w:spacing w:before="150" w:line="227" w:lineRule="auto"/>
              <w:ind w:left="136"/>
              <w:rPr>
                <w:rFonts w:hint="eastAsia" w:ascii="宋体" w:hAnsi="宋体" w:cs="宋体"/>
                <w:sz w:val="24"/>
                <w:szCs w:val="24"/>
              </w:rPr>
            </w:pPr>
            <w:r>
              <w:rPr>
                <w:rFonts w:hint="eastAsia" w:ascii="宋体" w:hAnsi="宋体" w:cs="宋体"/>
                <w:spacing w:val="9"/>
                <w:sz w:val="24"/>
                <w:szCs w:val="24"/>
              </w:rPr>
              <w:t>管</w:t>
            </w:r>
            <w:r>
              <w:rPr>
                <w:rFonts w:hint="eastAsia" w:ascii="宋体" w:hAnsi="宋体" w:cs="宋体"/>
                <w:spacing w:val="7"/>
                <w:sz w:val="24"/>
                <w:szCs w:val="24"/>
              </w:rPr>
              <w:t>理人员数量</w:t>
            </w:r>
          </w:p>
        </w:tc>
        <w:tc>
          <w:tcPr>
            <w:tcW w:w="461" w:type="pct"/>
            <w:tcBorders>
              <w:left w:val="single" w:color="000000" w:sz="4" w:space="0"/>
              <w:right w:val="single" w:color="000000" w:sz="4" w:space="0"/>
            </w:tcBorders>
          </w:tcPr>
          <w:p w14:paraId="319DF3DC">
            <w:pPr>
              <w:rPr>
                <w:rFonts w:hint="eastAsia" w:ascii="宋体" w:hAnsi="宋体" w:cs="宋体"/>
                <w:sz w:val="24"/>
                <w:szCs w:val="24"/>
              </w:rPr>
            </w:pPr>
          </w:p>
        </w:tc>
        <w:tc>
          <w:tcPr>
            <w:tcW w:w="1226" w:type="pct"/>
            <w:gridSpan w:val="3"/>
            <w:tcBorders>
              <w:left w:val="single" w:color="000000" w:sz="4" w:space="0"/>
            </w:tcBorders>
          </w:tcPr>
          <w:p w14:paraId="13A10CED">
            <w:pPr>
              <w:spacing w:before="150" w:line="227" w:lineRule="auto"/>
              <w:ind w:left="184"/>
              <w:rPr>
                <w:rFonts w:hint="eastAsia" w:ascii="宋体" w:hAnsi="宋体" w:cs="宋体"/>
                <w:sz w:val="24"/>
                <w:szCs w:val="24"/>
              </w:rPr>
            </w:pPr>
            <w:r>
              <w:rPr>
                <w:rFonts w:hint="eastAsia" w:ascii="宋体" w:hAnsi="宋体" w:cs="宋体"/>
                <w:spacing w:val="13"/>
                <w:sz w:val="24"/>
                <w:szCs w:val="24"/>
              </w:rPr>
              <w:t>专</w:t>
            </w:r>
            <w:r>
              <w:rPr>
                <w:rFonts w:hint="eastAsia" w:ascii="宋体" w:hAnsi="宋体" w:cs="宋体"/>
                <w:spacing w:val="8"/>
                <w:sz w:val="24"/>
                <w:szCs w:val="24"/>
              </w:rPr>
              <w:t>业技术人员数量</w:t>
            </w:r>
          </w:p>
        </w:tc>
        <w:tc>
          <w:tcPr>
            <w:tcW w:w="544" w:type="pct"/>
            <w:tcBorders>
              <w:right w:val="single" w:color="000000" w:sz="10" w:space="0"/>
            </w:tcBorders>
          </w:tcPr>
          <w:p w14:paraId="247996F2">
            <w:pPr>
              <w:rPr>
                <w:rFonts w:hint="eastAsia" w:ascii="宋体" w:hAnsi="宋体" w:cs="宋体"/>
                <w:sz w:val="24"/>
                <w:szCs w:val="24"/>
              </w:rPr>
            </w:pPr>
          </w:p>
        </w:tc>
      </w:tr>
      <w:tr w14:paraId="589BE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1234" w:type="pct"/>
            <w:vMerge w:val="continue"/>
            <w:tcBorders>
              <w:top w:val="nil"/>
              <w:left w:val="single" w:color="000000" w:sz="10" w:space="0"/>
              <w:right w:val="single" w:color="000000" w:sz="4" w:space="0"/>
            </w:tcBorders>
          </w:tcPr>
          <w:p w14:paraId="174A8F60">
            <w:pPr>
              <w:rPr>
                <w:rFonts w:hint="eastAsia" w:ascii="宋体" w:hAnsi="宋体" w:cs="宋体"/>
                <w:sz w:val="24"/>
                <w:szCs w:val="24"/>
              </w:rPr>
            </w:pPr>
          </w:p>
        </w:tc>
        <w:tc>
          <w:tcPr>
            <w:tcW w:w="611" w:type="pct"/>
            <w:vMerge w:val="continue"/>
            <w:tcBorders>
              <w:top w:val="nil"/>
              <w:left w:val="single" w:color="000000" w:sz="4" w:space="0"/>
              <w:right w:val="single" w:color="000000" w:sz="4" w:space="0"/>
            </w:tcBorders>
          </w:tcPr>
          <w:p w14:paraId="226B0E99">
            <w:pPr>
              <w:rPr>
                <w:rFonts w:hint="eastAsia" w:ascii="宋体" w:hAnsi="宋体" w:cs="宋体"/>
                <w:sz w:val="24"/>
                <w:szCs w:val="24"/>
              </w:rPr>
            </w:pPr>
          </w:p>
        </w:tc>
        <w:tc>
          <w:tcPr>
            <w:tcW w:w="921" w:type="pct"/>
            <w:gridSpan w:val="2"/>
            <w:tcBorders>
              <w:left w:val="single" w:color="000000" w:sz="4" w:space="0"/>
              <w:right w:val="single" w:color="000000" w:sz="4" w:space="0"/>
            </w:tcBorders>
          </w:tcPr>
          <w:p w14:paraId="001BCA52">
            <w:pPr>
              <w:spacing w:before="161" w:line="227" w:lineRule="auto"/>
              <w:ind w:left="251"/>
              <w:rPr>
                <w:rFonts w:hint="eastAsia" w:ascii="宋体" w:hAnsi="宋体" w:cs="宋体"/>
                <w:sz w:val="24"/>
                <w:szCs w:val="24"/>
              </w:rPr>
            </w:pPr>
            <w:r>
              <w:rPr>
                <w:rFonts w:hint="eastAsia" w:ascii="宋体" w:hAnsi="宋体" w:cs="宋体"/>
                <w:spacing w:val="8"/>
                <w:sz w:val="24"/>
                <w:szCs w:val="24"/>
              </w:rPr>
              <w:t>残疾人数量</w:t>
            </w:r>
          </w:p>
        </w:tc>
        <w:tc>
          <w:tcPr>
            <w:tcW w:w="461" w:type="pct"/>
            <w:tcBorders>
              <w:left w:val="single" w:color="000000" w:sz="4" w:space="0"/>
              <w:right w:val="single" w:color="000000" w:sz="4" w:space="0"/>
            </w:tcBorders>
          </w:tcPr>
          <w:p w14:paraId="452D4AE2">
            <w:pPr>
              <w:rPr>
                <w:rFonts w:hint="eastAsia" w:ascii="宋体" w:hAnsi="宋体" w:cs="宋体"/>
                <w:sz w:val="24"/>
                <w:szCs w:val="24"/>
              </w:rPr>
            </w:pPr>
          </w:p>
        </w:tc>
        <w:tc>
          <w:tcPr>
            <w:tcW w:w="1226" w:type="pct"/>
            <w:gridSpan w:val="3"/>
            <w:tcBorders>
              <w:left w:val="single" w:color="000000" w:sz="4" w:space="0"/>
            </w:tcBorders>
          </w:tcPr>
          <w:p w14:paraId="759EA88D">
            <w:pPr>
              <w:spacing w:before="161" w:line="227" w:lineRule="auto"/>
              <w:ind w:left="424"/>
              <w:rPr>
                <w:rFonts w:hint="eastAsia" w:ascii="宋体" w:hAnsi="宋体" w:cs="宋体"/>
                <w:sz w:val="24"/>
                <w:szCs w:val="24"/>
              </w:rPr>
            </w:pPr>
            <w:r>
              <w:rPr>
                <w:rFonts w:hint="eastAsia" w:ascii="宋体" w:hAnsi="宋体" w:cs="宋体"/>
                <w:spacing w:val="9"/>
                <w:sz w:val="24"/>
                <w:szCs w:val="24"/>
              </w:rPr>
              <w:t>少</w:t>
            </w:r>
            <w:r>
              <w:rPr>
                <w:rFonts w:hint="eastAsia" w:ascii="宋体" w:hAnsi="宋体" w:cs="宋体"/>
                <w:spacing w:val="8"/>
                <w:sz w:val="24"/>
                <w:szCs w:val="24"/>
              </w:rPr>
              <w:t>数民族数量</w:t>
            </w:r>
          </w:p>
        </w:tc>
        <w:tc>
          <w:tcPr>
            <w:tcW w:w="544" w:type="pct"/>
            <w:tcBorders>
              <w:right w:val="single" w:color="000000" w:sz="10" w:space="0"/>
            </w:tcBorders>
          </w:tcPr>
          <w:p w14:paraId="62B51963">
            <w:pPr>
              <w:rPr>
                <w:rFonts w:hint="eastAsia" w:ascii="宋体" w:hAnsi="宋体" w:cs="宋体"/>
                <w:sz w:val="24"/>
                <w:szCs w:val="24"/>
              </w:rPr>
            </w:pPr>
          </w:p>
        </w:tc>
      </w:tr>
      <w:tr w14:paraId="39669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5000" w:type="pct"/>
            <w:gridSpan w:val="9"/>
            <w:tcBorders>
              <w:left w:val="single" w:color="000000" w:sz="10" w:space="0"/>
              <w:right w:val="single" w:color="000000" w:sz="10" w:space="0"/>
            </w:tcBorders>
            <w:shd w:val="clear" w:color="auto" w:fill="F1F1F1"/>
          </w:tcPr>
          <w:p w14:paraId="7020E7B9">
            <w:pPr>
              <w:spacing w:before="231" w:line="227" w:lineRule="auto"/>
              <w:ind w:left="2685"/>
              <w:rPr>
                <w:rFonts w:hint="eastAsia" w:ascii="宋体" w:hAnsi="宋体" w:cs="宋体"/>
                <w:sz w:val="24"/>
                <w:szCs w:val="24"/>
              </w:rPr>
            </w:pPr>
            <w:r>
              <w:rPr>
                <w:rFonts w:hint="eastAsia" w:ascii="宋体" w:hAnsi="宋体" w:cs="宋体"/>
                <w:spacing w:val="16"/>
                <w:sz w:val="24"/>
                <w:szCs w:val="24"/>
              </w:rPr>
              <w:t>存</w:t>
            </w:r>
            <w:r>
              <w:rPr>
                <w:rFonts w:hint="eastAsia" w:ascii="宋体" w:hAnsi="宋体" w:cs="宋体"/>
                <w:spacing w:val="9"/>
                <w:sz w:val="24"/>
                <w:szCs w:val="24"/>
              </w:rPr>
              <w:t>在直接控股、管理关系的相关单位</w:t>
            </w:r>
          </w:p>
        </w:tc>
      </w:tr>
      <w:tr w14:paraId="3621A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1234" w:type="pct"/>
            <w:tcBorders>
              <w:left w:val="single" w:color="000000" w:sz="10" w:space="0"/>
              <w:right w:val="single" w:color="000000" w:sz="4" w:space="0"/>
            </w:tcBorders>
          </w:tcPr>
          <w:p w14:paraId="2EDE4300">
            <w:pPr>
              <w:snapToGrid w:val="0"/>
              <w:spacing w:before="229" w:line="228" w:lineRule="auto"/>
              <w:ind w:left="897"/>
              <w:rPr>
                <w:rFonts w:hint="eastAsia" w:ascii="宋体" w:hAnsi="宋体" w:cs="宋体"/>
                <w:sz w:val="24"/>
                <w:szCs w:val="24"/>
              </w:rPr>
            </w:pPr>
            <w:r>
              <w:rPr>
                <w:rFonts w:hint="eastAsia" w:ascii="宋体" w:hAnsi="宋体" w:cs="宋体"/>
                <w:spacing w:val="3"/>
                <w:sz w:val="24"/>
                <w:szCs w:val="24"/>
              </w:rPr>
              <w:t>关系</w:t>
            </w:r>
          </w:p>
        </w:tc>
        <w:tc>
          <w:tcPr>
            <w:tcW w:w="3765" w:type="pct"/>
            <w:gridSpan w:val="8"/>
            <w:tcBorders>
              <w:left w:val="single" w:color="000000" w:sz="4" w:space="0"/>
              <w:right w:val="single" w:color="000000" w:sz="10" w:space="0"/>
            </w:tcBorders>
          </w:tcPr>
          <w:p w14:paraId="1FBD242E">
            <w:pPr>
              <w:snapToGrid w:val="0"/>
              <w:spacing w:before="229" w:line="228" w:lineRule="auto"/>
              <w:ind w:left="2992"/>
              <w:rPr>
                <w:rFonts w:hint="eastAsia" w:ascii="宋体" w:hAnsi="宋体" w:cs="宋体"/>
                <w:sz w:val="24"/>
                <w:szCs w:val="24"/>
              </w:rPr>
            </w:pPr>
            <w:r>
              <w:rPr>
                <w:rFonts w:hint="eastAsia" w:ascii="宋体" w:hAnsi="宋体" w:cs="宋体"/>
                <w:spacing w:val="7"/>
                <w:sz w:val="24"/>
                <w:szCs w:val="24"/>
              </w:rPr>
              <w:t>单位名称</w:t>
            </w:r>
          </w:p>
        </w:tc>
      </w:tr>
      <w:tr w14:paraId="76A181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234" w:type="pct"/>
            <w:tcBorders>
              <w:left w:val="single" w:color="000000" w:sz="10" w:space="0"/>
              <w:right w:val="single" w:color="000000" w:sz="4" w:space="0"/>
            </w:tcBorders>
          </w:tcPr>
          <w:p w14:paraId="455BB929">
            <w:pPr>
              <w:rPr>
                <w:rFonts w:hint="eastAsia" w:ascii="宋体" w:hAnsi="宋体" w:cs="宋体"/>
                <w:sz w:val="24"/>
                <w:szCs w:val="24"/>
              </w:rPr>
            </w:pPr>
          </w:p>
        </w:tc>
        <w:tc>
          <w:tcPr>
            <w:tcW w:w="3765" w:type="pct"/>
            <w:gridSpan w:val="8"/>
            <w:tcBorders>
              <w:left w:val="single" w:color="000000" w:sz="4" w:space="0"/>
              <w:right w:val="single" w:color="000000" w:sz="10" w:space="0"/>
            </w:tcBorders>
          </w:tcPr>
          <w:p w14:paraId="6ADB3588">
            <w:pPr>
              <w:rPr>
                <w:rFonts w:hint="eastAsia" w:ascii="宋体" w:hAnsi="宋体" w:cs="宋体"/>
                <w:sz w:val="24"/>
                <w:szCs w:val="24"/>
              </w:rPr>
            </w:pPr>
          </w:p>
        </w:tc>
      </w:tr>
      <w:tr w14:paraId="003E1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1234" w:type="pct"/>
            <w:tcBorders>
              <w:left w:val="single" w:color="000000" w:sz="10" w:space="0"/>
              <w:right w:val="single" w:color="000000" w:sz="4" w:space="0"/>
            </w:tcBorders>
          </w:tcPr>
          <w:p w14:paraId="2CFFE503">
            <w:pPr>
              <w:rPr>
                <w:rFonts w:hint="eastAsia" w:ascii="宋体" w:hAnsi="宋体" w:cs="宋体"/>
                <w:sz w:val="24"/>
                <w:szCs w:val="24"/>
              </w:rPr>
            </w:pPr>
          </w:p>
        </w:tc>
        <w:tc>
          <w:tcPr>
            <w:tcW w:w="3765" w:type="pct"/>
            <w:gridSpan w:val="8"/>
            <w:tcBorders>
              <w:left w:val="single" w:color="000000" w:sz="4" w:space="0"/>
              <w:right w:val="single" w:color="000000" w:sz="10" w:space="0"/>
            </w:tcBorders>
          </w:tcPr>
          <w:p w14:paraId="700162F4">
            <w:pPr>
              <w:rPr>
                <w:rFonts w:hint="eastAsia" w:ascii="宋体" w:hAnsi="宋体" w:cs="宋体"/>
                <w:sz w:val="24"/>
                <w:szCs w:val="24"/>
              </w:rPr>
            </w:pPr>
          </w:p>
        </w:tc>
      </w:tr>
    </w:tbl>
    <w:p w14:paraId="68863A40">
      <w:pPr>
        <w:rPr>
          <w:rFonts w:hint="eastAsia" w:ascii="宋体" w:hAnsi="宋体" w:cs="宋体"/>
          <w:sz w:val="24"/>
          <w:szCs w:val="24"/>
        </w:rPr>
      </w:pPr>
      <w:r>
        <w:rPr>
          <w:rFonts w:ascii="宋体" w:hAnsi="宋体" w:cs="宋体"/>
          <w:spacing w:val="2"/>
          <w:sz w:val="24"/>
          <w:szCs w:val="24"/>
        </w:rPr>
        <w:t>说</w:t>
      </w:r>
      <w:r>
        <w:rPr>
          <w:rFonts w:ascii="宋体" w:hAnsi="宋体" w:cs="宋体"/>
          <w:spacing w:val="1"/>
          <w:sz w:val="24"/>
          <w:szCs w:val="24"/>
        </w:rPr>
        <w:t xml:space="preserve">明： </w:t>
      </w:r>
      <w:r>
        <w:rPr>
          <w:rFonts w:hint="eastAsia" w:ascii="宋体" w:hAnsi="宋体" w:cs="宋体"/>
          <w:sz w:val="24"/>
          <w:szCs w:val="24"/>
        </w:rPr>
        <w:t xml:space="preserve"> 1.成立时间至提交投标文件截止时间不足一年的可不填写“上年度营业收入”； </w:t>
      </w:r>
    </w:p>
    <w:p w14:paraId="00759800">
      <w:pPr>
        <w:ind w:firstLine="960" w:firstLineChars="400"/>
        <w:rPr>
          <w:rFonts w:hint="eastAsia" w:ascii="宋体" w:hAnsi="宋体" w:cs="宋体"/>
          <w:sz w:val="24"/>
          <w:szCs w:val="24"/>
        </w:rPr>
      </w:pPr>
      <w:r>
        <w:rPr>
          <w:rFonts w:hint="eastAsia" w:ascii="宋体" w:hAnsi="宋体" w:cs="宋体"/>
          <w:sz w:val="24"/>
          <w:szCs w:val="24"/>
        </w:rPr>
        <w:t>2.表格空间不足时，请自行扩展。</w:t>
      </w:r>
    </w:p>
    <w:p w14:paraId="3A54E555">
      <w:pPr>
        <w:autoSpaceDE w:val="0"/>
        <w:autoSpaceDN w:val="0"/>
        <w:adjustRightInd w:val="0"/>
        <w:jc w:val="center"/>
        <w:rPr>
          <w:rFonts w:hint="eastAsia" w:ascii="宋体" w:hAnsi="宋体" w:cs="宋体"/>
          <w:b/>
          <w:bCs/>
          <w:color w:val="000000"/>
          <w:sz w:val="28"/>
          <w:szCs w:val="28"/>
          <w:lang w:val="zh-CN"/>
        </w:rPr>
      </w:pPr>
    </w:p>
    <w:p w14:paraId="65EEC399">
      <w:pPr>
        <w:autoSpaceDE w:val="0"/>
        <w:autoSpaceDN w:val="0"/>
        <w:adjustRightInd w:val="0"/>
        <w:jc w:val="center"/>
        <w:rPr>
          <w:rFonts w:hint="eastAsia" w:ascii="宋体" w:hAnsi="宋体" w:cs="宋体"/>
          <w:b/>
          <w:bCs/>
          <w:color w:val="000000"/>
          <w:sz w:val="28"/>
          <w:szCs w:val="28"/>
          <w:lang w:val="zh-CN"/>
        </w:rPr>
      </w:pPr>
    </w:p>
    <w:p w14:paraId="13D2A218">
      <w:pPr>
        <w:autoSpaceDE w:val="0"/>
        <w:autoSpaceDN w:val="0"/>
        <w:adjustRightInd w:val="0"/>
        <w:jc w:val="center"/>
        <w:rPr>
          <w:rFonts w:hint="eastAsia" w:ascii="宋体" w:hAnsi="宋体" w:cs="宋体"/>
          <w:b/>
          <w:bCs/>
          <w:color w:val="000000"/>
          <w:sz w:val="28"/>
          <w:szCs w:val="28"/>
          <w:lang w:val="zh-CN"/>
        </w:rPr>
      </w:pPr>
    </w:p>
    <w:p w14:paraId="12A14093">
      <w:pPr>
        <w:autoSpaceDE w:val="0"/>
        <w:autoSpaceDN w:val="0"/>
        <w:adjustRightInd w:val="0"/>
        <w:jc w:val="center"/>
        <w:rPr>
          <w:rFonts w:hint="eastAsia" w:ascii="宋体" w:hAnsi="宋体" w:cs="宋体"/>
          <w:b/>
          <w:bCs/>
          <w:color w:val="000000"/>
          <w:sz w:val="28"/>
          <w:szCs w:val="28"/>
        </w:rPr>
      </w:pPr>
      <w:bookmarkStart w:id="28" w:name="_Toc11351"/>
      <w:bookmarkStart w:id="29" w:name="_Toc558"/>
    </w:p>
    <w:p w14:paraId="4F36F050">
      <w:pPr>
        <w:autoSpaceDE w:val="0"/>
        <w:autoSpaceDN w:val="0"/>
        <w:adjustRightInd w:val="0"/>
        <w:jc w:val="center"/>
        <w:rPr>
          <w:rFonts w:hint="eastAsia" w:ascii="宋体" w:hAnsi="宋体" w:cs="宋体"/>
          <w:b/>
          <w:bCs/>
          <w:color w:val="000000"/>
          <w:sz w:val="28"/>
          <w:szCs w:val="28"/>
        </w:rPr>
      </w:pPr>
    </w:p>
    <w:p w14:paraId="09AE0DA6">
      <w:pPr>
        <w:autoSpaceDE w:val="0"/>
        <w:autoSpaceDN w:val="0"/>
        <w:adjustRightInd w:val="0"/>
        <w:jc w:val="center"/>
        <w:rPr>
          <w:rFonts w:hint="eastAsia" w:ascii="宋体" w:hAnsi="宋体" w:cs="宋体"/>
          <w:b/>
          <w:bCs/>
          <w:color w:val="000000"/>
          <w:sz w:val="28"/>
          <w:szCs w:val="28"/>
          <w:lang w:val="zh-CN"/>
        </w:rPr>
      </w:pPr>
      <w:r>
        <w:rPr>
          <w:rFonts w:hint="eastAsia" w:ascii="宋体" w:hAnsi="宋体" w:cs="宋体"/>
          <w:b/>
          <w:bCs/>
          <w:color w:val="000000"/>
          <w:sz w:val="28"/>
          <w:szCs w:val="28"/>
        </w:rPr>
        <w:t>二、</w:t>
      </w:r>
      <w:r>
        <w:rPr>
          <w:rFonts w:hint="eastAsia" w:ascii="宋体" w:hAnsi="宋体" w:cs="宋体"/>
          <w:b/>
          <w:bCs/>
          <w:color w:val="000000"/>
          <w:sz w:val="28"/>
          <w:szCs w:val="28"/>
          <w:lang w:val="zh-CN"/>
        </w:rPr>
        <w:t>法定代表人身份证明</w:t>
      </w:r>
      <w:bookmarkEnd w:id="28"/>
      <w:bookmarkEnd w:id="29"/>
    </w:p>
    <w:p w14:paraId="754E51F3">
      <w:pPr>
        <w:autoSpaceDE w:val="0"/>
        <w:autoSpaceDN w:val="0"/>
        <w:adjustRightInd w:val="0"/>
        <w:spacing w:line="500" w:lineRule="exact"/>
        <w:rPr>
          <w:rFonts w:hint="eastAsia" w:hAnsi="宋体" w:cs="宋体"/>
          <w:szCs w:val="18"/>
          <w:lang w:val="zh-CN"/>
        </w:rPr>
      </w:pPr>
    </w:p>
    <w:p w14:paraId="58AABD67">
      <w:pPr>
        <w:spacing w:before="190" w:line="219" w:lineRule="auto"/>
        <w:ind w:left="122"/>
        <w:rPr>
          <w:rFonts w:hint="eastAsia" w:ascii="宋体" w:hAnsi="宋体" w:cs="宋体"/>
          <w:sz w:val="24"/>
          <w:szCs w:val="24"/>
        </w:rPr>
      </w:pPr>
      <w:r>
        <w:rPr>
          <w:rFonts w:hint="eastAsia" w:ascii="宋体" w:hAnsi="宋体" w:cs="宋体"/>
          <w:spacing w:val="-18"/>
          <w:sz w:val="24"/>
          <w:szCs w:val="24"/>
        </w:rPr>
        <w:t>致</w:t>
      </w:r>
      <w:r>
        <w:rPr>
          <w:rFonts w:hint="eastAsia" w:ascii="宋体" w:hAnsi="宋体" w:cs="宋体"/>
          <w:spacing w:val="-11"/>
          <w:sz w:val="24"/>
          <w:szCs w:val="24"/>
        </w:rPr>
        <w:t>：</w:t>
      </w:r>
      <w:r>
        <w:rPr>
          <w:rFonts w:hint="eastAsia" w:ascii="宋体" w:hAnsi="宋体" w:cs="宋体"/>
          <w:spacing w:val="-9"/>
          <w:sz w:val="24"/>
          <w:szCs w:val="24"/>
          <w:u w:val="single"/>
        </w:rPr>
        <w:t xml:space="preserve"> (采购人或采购代理机构)</w:t>
      </w:r>
      <w:r>
        <w:rPr>
          <w:rFonts w:hint="eastAsia" w:ascii="宋体" w:hAnsi="宋体" w:cs="宋体"/>
          <w:sz w:val="24"/>
          <w:szCs w:val="24"/>
          <w:u w:val="single"/>
        </w:rPr>
        <w:t xml:space="preserve"> </w:t>
      </w:r>
    </w:p>
    <w:p w14:paraId="29310870">
      <w:pPr>
        <w:spacing w:line="247" w:lineRule="auto"/>
        <w:rPr>
          <w:rFonts w:hint="eastAsia" w:ascii="宋体" w:hAnsi="宋体" w:cs="宋体"/>
          <w:sz w:val="24"/>
          <w:szCs w:val="24"/>
        </w:rPr>
      </w:pPr>
    </w:p>
    <w:p w14:paraId="591D795E">
      <w:pPr>
        <w:spacing w:before="78" w:line="220" w:lineRule="auto"/>
        <w:ind w:left="606"/>
        <w:rPr>
          <w:rFonts w:hint="eastAsia" w:ascii="宋体" w:hAnsi="宋体" w:cs="宋体"/>
          <w:sz w:val="24"/>
          <w:szCs w:val="24"/>
        </w:rPr>
      </w:pPr>
      <w:r>
        <w:rPr>
          <w:rFonts w:hint="eastAsia" w:ascii="宋体" w:hAnsi="宋体" w:cs="宋体"/>
          <w:spacing w:val="-13"/>
          <w:sz w:val="24"/>
          <w:szCs w:val="24"/>
        </w:rPr>
        <w:t>兹</w:t>
      </w:r>
      <w:r>
        <w:rPr>
          <w:rFonts w:hint="eastAsia" w:ascii="宋体" w:hAnsi="宋体" w:cs="宋体"/>
          <w:spacing w:val="-12"/>
          <w:sz w:val="24"/>
          <w:szCs w:val="24"/>
        </w:rPr>
        <w:t>证明，</w:t>
      </w:r>
    </w:p>
    <w:p w14:paraId="5AC5EC54">
      <w:pPr>
        <w:spacing w:before="170" w:line="217" w:lineRule="auto"/>
        <w:ind w:left="122"/>
        <w:rPr>
          <w:rFonts w:hint="eastAsia" w:ascii="宋体" w:hAnsi="宋体" w:cs="宋体"/>
          <w:sz w:val="24"/>
          <w:szCs w:val="24"/>
        </w:rPr>
      </w:pPr>
      <w:r>
        <w:rPr>
          <w:rFonts w:hint="eastAsia" w:ascii="宋体" w:hAnsi="宋体" w:cs="宋体"/>
          <w:spacing w:val="-40"/>
          <w:sz w:val="24"/>
          <w:szCs w:val="24"/>
        </w:rPr>
        <w:t>姓</w:t>
      </w:r>
      <w:r>
        <w:rPr>
          <w:rFonts w:hint="eastAsia" w:ascii="宋体" w:hAnsi="宋体" w:cs="宋体"/>
          <w:spacing w:val="-21"/>
          <w:sz w:val="24"/>
          <w:szCs w:val="24"/>
        </w:rPr>
        <w:t>名： ____性别： ____年龄： ____职务： ____</w:t>
      </w:r>
    </w:p>
    <w:p w14:paraId="760842E8">
      <w:pPr>
        <w:spacing w:line="273" w:lineRule="auto"/>
        <w:rPr>
          <w:rFonts w:hint="eastAsia" w:ascii="宋体" w:hAnsi="宋体" w:cs="宋体"/>
          <w:sz w:val="24"/>
          <w:szCs w:val="24"/>
        </w:rPr>
      </w:pPr>
    </w:p>
    <w:p w14:paraId="35FBA9CE">
      <w:pPr>
        <w:spacing w:line="273" w:lineRule="auto"/>
        <w:rPr>
          <w:rFonts w:hint="eastAsia" w:ascii="宋体" w:hAnsi="宋体" w:cs="宋体"/>
          <w:sz w:val="24"/>
          <w:szCs w:val="24"/>
        </w:rPr>
      </w:pPr>
    </w:p>
    <w:p w14:paraId="12AE107E">
      <w:pPr>
        <w:spacing w:before="78" w:line="220" w:lineRule="auto"/>
        <w:ind w:left="127"/>
        <w:rPr>
          <w:rFonts w:hint="eastAsia" w:ascii="宋体" w:hAnsi="宋体" w:cs="宋体"/>
          <w:sz w:val="24"/>
          <w:szCs w:val="24"/>
        </w:rPr>
      </w:pPr>
      <w:r>
        <w:rPr>
          <w:rFonts w:hint="eastAsia" w:ascii="宋体" w:hAnsi="宋体" w:cs="宋体"/>
          <w:spacing w:val="14"/>
          <w:sz w:val="24"/>
          <w:szCs w:val="24"/>
        </w:rPr>
        <w:t>系</w:t>
      </w:r>
      <w:r>
        <w:rPr>
          <w:rFonts w:hint="eastAsia" w:ascii="宋体" w:hAnsi="宋体" w:cs="宋体"/>
          <w:spacing w:val="14"/>
          <w:sz w:val="24"/>
          <w:szCs w:val="24"/>
          <w:u w:val="single"/>
        </w:rPr>
        <w:t xml:space="preserve">  </w:t>
      </w:r>
      <w:r>
        <w:rPr>
          <w:rFonts w:hint="eastAsia" w:ascii="宋体" w:hAnsi="宋体" w:cs="宋体"/>
          <w:spacing w:val="12"/>
          <w:sz w:val="24"/>
          <w:szCs w:val="24"/>
          <w:u w:val="single"/>
        </w:rPr>
        <w:t xml:space="preserve"> </w:t>
      </w:r>
      <w:r>
        <w:rPr>
          <w:rFonts w:hint="eastAsia" w:ascii="宋体" w:hAnsi="宋体" w:cs="宋体"/>
          <w:spacing w:val="7"/>
          <w:sz w:val="24"/>
          <w:szCs w:val="24"/>
          <w:u w:val="single"/>
        </w:rPr>
        <w:t xml:space="preserve">             </w:t>
      </w:r>
      <w:r>
        <w:rPr>
          <w:rFonts w:hint="eastAsia" w:ascii="宋体" w:hAnsi="宋体" w:cs="宋体"/>
          <w:spacing w:val="7"/>
          <w:sz w:val="24"/>
          <w:szCs w:val="24"/>
        </w:rPr>
        <w:t xml:space="preserve"> (投标人名称)的法定代表人(单位负责人)。</w:t>
      </w:r>
    </w:p>
    <w:p w14:paraId="3ABB5E48">
      <w:pPr>
        <w:spacing w:line="258" w:lineRule="auto"/>
        <w:rPr>
          <w:rFonts w:hint="eastAsia" w:ascii="宋体" w:hAnsi="宋体" w:cs="宋体"/>
          <w:sz w:val="24"/>
          <w:szCs w:val="24"/>
        </w:rPr>
      </w:pPr>
    </w:p>
    <w:p w14:paraId="411CC5F3">
      <w:pPr>
        <w:spacing w:line="258" w:lineRule="auto"/>
        <w:rPr>
          <w:rFonts w:hint="eastAsia" w:ascii="宋体" w:hAnsi="宋体" w:cs="宋体"/>
          <w:sz w:val="24"/>
          <w:szCs w:val="24"/>
        </w:rPr>
      </w:pPr>
    </w:p>
    <w:p w14:paraId="07E2D44C">
      <w:pPr>
        <w:spacing w:before="78" w:line="219" w:lineRule="auto"/>
        <w:ind w:left="141"/>
        <w:rPr>
          <w:rFonts w:hint="eastAsia" w:ascii="宋体" w:hAnsi="宋体" w:cs="宋体"/>
          <w:sz w:val="24"/>
          <w:szCs w:val="24"/>
        </w:rPr>
      </w:pPr>
      <w:r>
        <w:rPr>
          <w:rFonts w:hint="eastAsia" w:ascii="宋体" w:hAnsi="宋体" w:cs="宋体"/>
          <w:spacing w:val="7"/>
          <w:sz w:val="24"/>
          <w:szCs w:val="24"/>
        </w:rPr>
        <w:t>附</w:t>
      </w:r>
      <w:r>
        <w:rPr>
          <w:rFonts w:hint="eastAsia" w:ascii="宋体" w:hAnsi="宋体" w:cs="宋体"/>
          <w:spacing w:val="5"/>
          <w:sz w:val="24"/>
          <w:szCs w:val="24"/>
        </w:rPr>
        <w:t>：法定代表人身份证双面电子件：</w:t>
      </w:r>
    </w:p>
    <w:p w14:paraId="23F712FF">
      <w:pPr>
        <w:spacing w:line="431" w:lineRule="auto"/>
        <w:rPr>
          <w:rFonts w:hint="eastAsia" w:ascii="宋体" w:hAnsi="宋体" w:cs="宋体"/>
          <w:sz w:val="24"/>
          <w:szCs w:val="24"/>
        </w:rPr>
      </w:pPr>
    </w:p>
    <w:p w14:paraId="58A07AA1">
      <w:pPr>
        <w:spacing w:line="2287" w:lineRule="exact"/>
        <w:textAlignment w:val="center"/>
        <w:rPr>
          <w:rFonts w:hint="eastAsia" w:ascii="宋体" w:hAnsi="宋体" w:cs="宋体"/>
          <w:sz w:val="24"/>
          <w:szCs w:val="24"/>
        </w:rPr>
      </w:pPr>
      <w:r>
        <w:rPr>
          <w:rFonts w:hint="eastAsia" w:ascii="宋体" w:hAnsi="宋体" w:cs="宋体"/>
          <w:sz w:val="24"/>
          <w:szCs w:val="24"/>
        </w:rPr>
        <w:drawing>
          <wp:inline distT="0" distB="0" distL="0" distR="0">
            <wp:extent cx="5760720" cy="1451610"/>
            <wp:effectExtent l="0" t="0" r="11430" b="15240"/>
            <wp:docPr id="53" name="IM 49"/>
            <wp:cNvGraphicFramePr/>
            <a:graphic xmlns:a="http://schemas.openxmlformats.org/drawingml/2006/main">
              <a:graphicData uri="http://schemas.openxmlformats.org/drawingml/2006/picture">
                <pic:pic xmlns:pic="http://schemas.openxmlformats.org/drawingml/2006/picture">
                  <pic:nvPicPr>
                    <pic:cNvPr id="53" name="IM 49"/>
                    <pic:cNvPicPr/>
                  </pic:nvPicPr>
                  <pic:blipFill>
                    <a:blip r:embed="rId23"/>
                    <a:stretch>
                      <a:fillRect/>
                    </a:stretch>
                  </pic:blipFill>
                  <pic:spPr>
                    <a:xfrm>
                      <a:off x="0" y="0"/>
                      <a:ext cx="5760754" cy="1451974"/>
                    </a:xfrm>
                    <a:prstGeom prst="rect">
                      <a:avLst/>
                    </a:prstGeom>
                  </pic:spPr>
                </pic:pic>
              </a:graphicData>
            </a:graphic>
          </wp:inline>
        </w:drawing>
      </w:r>
    </w:p>
    <w:p w14:paraId="1F8D62F5">
      <w:pPr>
        <w:spacing w:line="250" w:lineRule="auto"/>
        <w:rPr>
          <w:rFonts w:hint="eastAsia" w:ascii="宋体" w:hAnsi="宋体" w:cs="宋体"/>
          <w:sz w:val="24"/>
          <w:szCs w:val="24"/>
        </w:rPr>
      </w:pPr>
    </w:p>
    <w:p w14:paraId="0E1A1D22">
      <w:pPr>
        <w:spacing w:line="250" w:lineRule="auto"/>
        <w:rPr>
          <w:rFonts w:hint="eastAsia" w:ascii="宋体" w:hAnsi="宋体" w:cs="宋体"/>
          <w:sz w:val="24"/>
          <w:szCs w:val="24"/>
        </w:rPr>
      </w:pPr>
    </w:p>
    <w:p w14:paraId="1ADC69CF">
      <w:pPr>
        <w:spacing w:line="251" w:lineRule="auto"/>
        <w:rPr>
          <w:rFonts w:hint="eastAsia" w:ascii="宋体" w:hAnsi="宋体" w:cs="宋体"/>
          <w:sz w:val="24"/>
          <w:szCs w:val="24"/>
        </w:rPr>
      </w:pPr>
    </w:p>
    <w:p w14:paraId="14D3F67B">
      <w:pPr>
        <w:spacing w:before="78" w:line="219" w:lineRule="auto"/>
        <w:ind w:left="125"/>
        <w:rPr>
          <w:rFonts w:hint="eastAsia" w:ascii="宋体" w:hAnsi="宋体" w:cs="宋体"/>
          <w:sz w:val="24"/>
          <w:szCs w:val="24"/>
        </w:rPr>
      </w:pPr>
      <w:r>
        <w:rPr>
          <w:rFonts w:hint="eastAsia" w:ascii="宋体" w:hAnsi="宋体" w:cs="宋体"/>
          <w:spacing w:val="-6"/>
          <w:sz w:val="24"/>
          <w:szCs w:val="24"/>
        </w:rPr>
        <w:t>投标人</w:t>
      </w:r>
      <w:r>
        <w:rPr>
          <w:rFonts w:hint="eastAsia" w:ascii="宋体" w:hAnsi="宋体" w:cs="宋体"/>
          <w:spacing w:val="-5"/>
          <w:sz w:val="24"/>
          <w:szCs w:val="24"/>
        </w:rPr>
        <w:t>名</w:t>
      </w:r>
      <w:r>
        <w:rPr>
          <w:rFonts w:hint="eastAsia" w:ascii="宋体" w:hAnsi="宋体" w:cs="宋体"/>
          <w:spacing w:val="-3"/>
          <w:sz w:val="24"/>
          <w:szCs w:val="24"/>
        </w:rPr>
        <w:t>称(加盖公章)：________________</w:t>
      </w:r>
    </w:p>
    <w:p w14:paraId="22A37CB7">
      <w:pPr>
        <w:spacing w:before="303" w:line="219" w:lineRule="auto"/>
        <w:ind w:left="123"/>
        <w:rPr>
          <w:rFonts w:hint="eastAsia" w:ascii="宋体" w:hAnsi="宋体" w:cs="宋体"/>
          <w:sz w:val="24"/>
          <w:szCs w:val="24"/>
        </w:rPr>
      </w:pPr>
      <w:r>
        <w:rPr>
          <w:rFonts w:hint="eastAsia" w:ascii="宋体" w:hAnsi="宋体" w:cs="宋体"/>
          <w:spacing w:val="2"/>
          <w:sz w:val="24"/>
          <w:szCs w:val="24"/>
        </w:rPr>
        <w:t>法定代表人(签字或签章)：_____</w:t>
      </w:r>
      <w:r>
        <w:rPr>
          <w:rFonts w:hint="eastAsia" w:ascii="宋体" w:hAnsi="宋体" w:cs="宋体"/>
          <w:sz w:val="24"/>
          <w:szCs w:val="24"/>
        </w:rPr>
        <w:t>__</w:t>
      </w:r>
    </w:p>
    <w:p w14:paraId="74F43C83">
      <w:pPr>
        <w:spacing w:line="269" w:lineRule="auto"/>
        <w:rPr>
          <w:rFonts w:hint="eastAsia" w:ascii="宋体" w:hAnsi="宋体" w:cs="宋体"/>
          <w:sz w:val="24"/>
          <w:szCs w:val="24"/>
        </w:rPr>
      </w:pPr>
    </w:p>
    <w:p w14:paraId="58C26B18">
      <w:pPr>
        <w:spacing w:line="269" w:lineRule="auto"/>
        <w:rPr>
          <w:rFonts w:hint="eastAsia" w:ascii="宋体" w:hAnsi="宋体" w:cs="宋体"/>
          <w:sz w:val="24"/>
          <w:szCs w:val="24"/>
        </w:rPr>
      </w:pPr>
    </w:p>
    <w:p w14:paraId="35935B26">
      <w:pPr>
        <w:spacing w:line="270" w:lineRule="auto"/>
        <w:rPr>
          <w:rFonts w:hint="eastAsia" w:ascii="宋体" w:hAnsi="宋体" w:cs="宋体"/>
          <w:sz w:val="24"/>
          <w:szCs w:val="24"/>
        </w:rPr>
      </w:pPr>
    </w:p>
    <w:p w14:paraId="711C9C11">
      <w:pPr>
        <w:spacing w:before="79" w:line="217" w:lineRule="auto"/>
        <w:ind w:left="164"/>
        <w:rPr>
          <w:rFonts w:hint="eastAsia" w:ascii="宋体" w:hAnsi="宋体" w:cs="宋体"/>
          <w:sz w:val="24"/>
          <w:szCs w:val="24"/>
        </w:rPr>
      </w:pPr>
      <w:r>
        <w:rPr>
          <w:rFonts w:hint="eastAsia" w:ascii="宋体" w:hAnsi="宋体" w:cs="宋体"/>
          <w:spacing w:val="-32"/>
          <w:sz w:val="24"/>
          <w:szCs w:val="24"/>
        </w:rPr>
        <w:t>日</w:t>
      </w:r>
      <w:r>
        <w:rPr>
          <w:rFonts w:hint="eastAsia" w:ascii="宋体" w:hAnsi="宋体" w:cs="宋体"/>
          <w:spacing w:val="-16"/>
          <w:sz w:val="24"/>
          <w:szCs w:val="24"/>
        </w:rPr>
        <w:t>期： _____年______月______ 日</w:t>
      </w:r>
    </w:p>
    <w:p w14:paraId="719C1B27">
      <w:pPr>
        <w:rPr>
          <w:rFonts w:hint="eastAsia" w:ascii="宋体" w:hAnsi="宋体" w:cs="宋体"/>
          <w:sz w:val="24"/>
          <w:szCs w:val="24"/>
        </w:rPr>
        <w:sectPr>
          <w:headerReference r:id="rId12" w:type="default"/>
          <w:footerReference r:id="rId13" w:type="default"/>
          <w:pgSz w:w="11907" w:h="16840"/>
          <w:pgMar w:top="1440" w:right="1080" w:bottom="1440" w:left="1080" w:header="878" w:footer="886" w:gutter="0"/>
          <w:pgNumType w:start="1"/>
          <w:cols w:space="720" w:num="1"/>
        </w:sectPr>
      </w:pPr>
    </w:p>
    <w:p w14:paraId="0CCAA56D">
      <w:pPr>
        <w:autoSpaceDE w:val="0"/>
        <w:autoSpaceDN w:val="0"/>
        <w:adjustRightInd w:val="0"/>
        <w:jc w:val="center"/>
        <w:rPr>
          <w:rFonts w:hint="eastAsia" w:ascii="宋体" w:hAnsi="宋体" w:cs="宋体"/>
          <w:b/>
          <w:bCs/>
          <w:color w:val="000000"/>
          <w:sz w:val="28"/>
          <w:szCs w:val="28"/>
          <w:lang w:val="zh-CN"/>
        </w:rPr>
      </w:pPr>
      <w:r>
        <w:rPr>
          <w:rFonts w:hint="eastAsia" w:ascii="宋体" w:hAnsi="宋体" w:cs="宋体"/>
          <w:b/>
          <w:bCs/>
          <w:color w:val="000000"/>
          <w:sz w:val="28"/>
          <w:szCs w:val="28"/>
        </w:rPr>
        <w:t>三、</w:t>
      </w:r>
      <w:r>
        <w:rPr>
          <w:rFonts w:hint="eastAsia" w:ascii="宋体" w:hAnsi="宋体" w:cs="宋体"/>
          <w:b/>
          <w:bCs/>
          <w:color w:val="000000"/>
          <w:sz w:val="28"/>
          <w:szCs w:val="28"/>
          <w:lang w:val="zh-CN"/>
        </w:rPr>
        <w:t>法定代表人授权书</w:t>
      </w:r>
    </w:p>
    <w:p w14:paraId="5538FC9F">
      <w:pPr>
        <w:autoSpaceDE w:val="0"/>
        <w:autoSpaceDN w:val="0"/>
        <w:adjustRightInd w:val="0"/>
        <w:ind w:firstLine="480"/>
        <w:rPr>
          <w:rFonts w:hint="eastAsia" w:ascii="宋体" w:hAnsi="宋体" w:cs="宋体"/>
          <w:bCs/>
          <w:color w:val="000000"/>
          <w:szCs w:val="21"/>
          <w:lang w:val="zh-CN"/>
        </w:rPr>
      </w:pPr>
    </w:p>
    <w:p w14:paraId="0640382E">
      <w:pPr>
        <w:autoSpaceDE w:val="0"/>
        <w:autoSpaceDN w:val="0"/>
        <w:adjustRightInd w:val="0"/>
        <w:ind w:firstLine="480"/>
        <w:rPr>
          <w:rFonts w:hint="eastAsia" w:ascii="宋体" w:hAnsi="宋体" w:cs="宋体"/>
          <w:bCs/>
          <w:color w:val="000000"/>
          <w:szCs w:val="21"/>
          <w:lang w:val="zh-CN"/>
        </w:rPr>
      </w:pPr>
    </w:p>
    <w:p w14:paraId="68B7FD12">
      <w:pPr>
        <w:spacing w:before="78" w:line="359" w:lineRule="auto"/>
        <w:ind w:left="122" w:firstLine="420"/>
        <w:rPr>
          <w:rFonts w:hint="eastAsia" w:ascii="宋体" w:hAnsi="宋体" w:cs="宋体"/>
          <w:sz w:val="24"/>
          <w:szCs w:val="24"/>
        </w:rPr>
      </w:pPr>
      <w:r>
        <w:rPr>
          <w:rFonts w:hint="eastAsia" w:ascii="宋体" w:hAnsi="宋体" w:cs="宋体"/>
          <w:spacing w:val="-4"/>
          <w:sz w:val="24"/>
          <w:szCs w:val="24"/>
        </w:rPr>
        <w:t>本人_______ (姓名) 系________________ (投标人名称) 的法定代表人，</w:t>
      </w:r>
      <w:r>
        <w:rPr>
          <w:rFonts w:hint="eastAsia" w:ascii="宋体" w:hAnsi="宋体" w:cs="宋体"/>
          <w:spacing w:val="-5"/>
          <w:sz w:val="24"/>
          <w:szCs w:val="24"/>
        </w:rPr>
        <w:t>现委托_______ (姓名) 为我方代理人。代理人根据授权，以我方名义签署、</w:t>
      </w:r>
      <w:r>
        <w:rPr>
          <w:rFonts w:hint="eastAsia" w:ascii="宋体" w:hAnsi="宋体" w:cs="宋体"/>
          <w:spacing w:val="-3"/>
          <w:sz w:val="24"/>
          <w:szCs w:val="24"/>
        </w:rPr>
        <w:t>澄</w:t>
      </w:r>
      <w:r>
        <w:rPr>
          <w:rFonts w:hint="eastAsia" w:ascii="宋体" w:hAnsi="宋体" w:cs="宋体"/>
          <w:sz w:val="24"/>
          <w:szCs w:val="24"/>
        </w:rPr>
        <w:t xml:space="preserve">清 </w:t>
      </w:r>
      <w:r>
        <w:rPr>
          <w:rFonts w:hint="eastAsia" w:ascii="宋体" w:hAnsi="宋体" w:cs="宋体"/>
          <w:spacing w:val="-7"/>
          <w:sz w:val="24"/>
          <w:szCs w:val="24"/>
        </w:rPr>
        <w:t>确认、提交、撤回、修改________________ (项目名称) 投标文件和处理有关事宜，</w:t>
      </w:r>
      <w:r>
        <w:rPr>
          <w:rFonts w:hint="eastAsia" w:ascii="宋体" w:hAnsi="宋体" w:cs="宋体"/>
          <w:spacing w:val="-4"/>
          <w:sz w:val="24"/>
          <w:szCs w:val="24"/>
        </w:rPr>
        <w:t>其法律后果由我方承担</w:t>
      </w:r>
      <w:r>
        <w:rPr>
          <w:rFonts w:hint="eastAsia" w:ascii="宋体" w:hAnsi="宋体" w:cs="宋体"/>
          <w:spacing w:val="-3"/>
          <w:sz w:val="24"/>
          <w:szCs w:val="24"/>
        </w:rPr>
        <w:t>。</w:t>
      </w:r>
    </w:p>
    <w:p w14:paraId="75749CDD">
      <w:pPr>
        <w:spacing w:before="1" w:line="368" w:lineRule="auto"/>
        <w:ind w:left="541" w:right="1726"/>
        <w:rPr>
          <w:rFonts w:hint="eastAsia" w:ascii="宋体" w:hAnsi="宋体" w:cs="宋体"/>
          <w:sz w:val="24"/>
          <w:szCs w:val="24"/>
        </w:rPr>
      </w:pPr>
      <w:r>
        <w:rPr>
          <w:rFonts w:hint="eastAsia" w:ascii="宋体" w:hAnsi="宋体" w:cs="宋体"/>
          <w:spacing w:val="-2"/>
          <w:sz w:val="24"/>
          <w:szCs w:val="24"/>
        </w:rPr>
        <w:t>委托期限：自本授权委托书签</w:t>
      </w:r>
      <w:r>
        <w:rPr>
          <w:rFonts w:hint="eastAsia" w:ascii="宋体" w:hAnsi="宋体" w:cs="宋体"/>
          <w:spacing w:val="-1"/>
          <w:sz w:val="24"/>
          <w:szCs w:val="24"/>
        </w:rPr>
        <w:t>署之日起至投标有效期届满之日止。</w:t>
      </w:r>
      <w:r>
        <w:rPr>
          <w:rFonts w:hint="eastAsia" w:ascii="宋体" w:hAnsi="宋体" w:cs="宋体"/>
          <w:sz w:val="24"/>
          <w:szCs w:val="24"/>
        </w:rPr>
        <w:t xml:space="preserve"> </w:t>
      </w:r>
      <w:r>
        <w:rPr>
          <w:rFonts w:hint="eastAsia" w:ascii="宋体" w:hAnsi="宋体" w:cs="宋体"/>
          <w:spacing w:val="-6"/>
          <w:sz w:val="24"/>
          <w:szCs w:val="24"/>
        </w:rPr>
        <w:t>代</w:t>
      </w:r>
      <w:r>
        <w:rPr>
          <w:rFonts w:hint="eastAsia" w:ascii="宋体" w:hAnsi="宋体" w:cs="宋体"/>
          <w:spacing w:val="-4"/>
          <w:sz w:val="24"/>
          <w:szCs w:val="24"/>
        </w:rPr>
        <w:t>理人无转委托权。</w:t>
      </w:r>
    </w:p>
    <w:p w14:paraId="15B2B7C2">
      <w:pPr>
        <w:spacing w:line="314" w:lineRule="auto"/>
        <w:rPr>
          <w:rFonts w:hint="eastAsia" w:ascii="宋体" w:hAnsi="宋体" w:cs="宋体"/>
          <w:sz w:val="24"/>
          <w:szCs w:val="24"/>
        </w:rPr>
      </w:pPr>
    </w:p>
    <w:p w14:paraId="04404F7E">
      <w:pPr>
        <w:spacing w:before="79" w:line="219" w:lineRule="auto"/>
        <w:ind w:left="125"/>
        <w:rPr>
          <w:rFonts w:hint="eastAsia" w:ascii="宋体" w:hAnsi="宋体" w:cs="宋体"/>
          <w:sz w:val="24"/>
          <w:szCs w:val="24"/>
        </w:rPr>
      </w:pPr>
      <w:r>
        <w:rPr>
          <w:rFonts w:hint="eastAsia" w:ascii="宋体" w:hAnsi="宋体" w:cs="宋体"/>
          <w:spacing w:val="-6"/>
          <w:sz w:val="24"/>
          <w:szCs w:val="24"/>
        </w:rPr>
        <w:t>投标人</w:t>
      </w:r>
      <w:r>
        <w:rPr>
          <w:rFonts w:hint="eastAsia" w:ascii="宋体" w:hAnsi="宋体" w:cs="宋体"/>
          <w:spacing w:val="-5"/>
          <w:sz w:val="24"/>
          <w:szCs w:val="24"/>
        </w:rPr>
        <w:t>名</w:t>
      </w:r>
      <w:r>
        <w:rPr>
          <w:rFonts w:hint="eastAsia" w:ascii="宋体" w:hAnsi="宋体" w:cs="宋体"/>
          <w:spacing w:val="-3"/>
          <w:sz w:val="24"/>
          <w:szCs w:val="24"/>
        </w:rPr>
        <w:t>称(加盖公章)：________________</w:t>
      </w:r>
    </w:p>
    <w:p w14:paraId="32364939">
      <w:pPr>
        <w:spacing w:before="183" w:line="466" w:lineRule="exact"/>
        <w:ind w:left="123"/>
        <w:rPr>
          <w:rFonts w:hint="eastAsia" w:ascii="宋体" w:hAnsi="宋体" w:cs="宋体"/>
          <w:sz w:val="24"/>
          <w:szCs w:val="24"/>
        </w:rPr>
      </w:pPr>
      <w:r>
        <w:rPr>
          <w:rFonts w:hint="eastAsia" w:ascii="宋体" w:hAnsi="宋体" w:cs="宋体"/>
          <w:spacing w:val="1"/>
          <w:position w:val="17"/>
          <w:sz w:val="24"/>
          <w:szCs w:val="24"/>
        </w:rPr>
        <w:t>法定代表人(签字或签章)：_______</w:t>
      </w:r>
      <w:r>
        <w:rPr>
          <w:rFonts w:hint="eastAsia" w:ascii="宋体" w:hAnsi="宋体" w:cs="宋体"/>
          <w:position w:val="17"/>
          <w:sz w:val="24"/>
          <w:szCs w:val="24"/>
        </w:rPr>
        <w:t>_________</w:t>
      </w:r>
    </w:p>
    <w:p w14:paraId="67A3EF3D">
      <w:pPr>
        <w:spacing w:before="1" w:line="218" w:lineRule="auto"/>
        <w:ind w:left="121"/>
        <w:rPr>
          <w:rFonts w:hint="eastAsia" w:ascii="宋体" w:hAnsi="宋体" w:cs="宋体"/>
          <w:sz w:val="24"/>
          <w:szCs w:val="24"/>
        </w:rPr>
      </w:pPr>
      <w:r>
        <w:rPr>
          <w:rFonts w:hint="eastAsia" w:ascii="宋体" w:hAnsi="宋体" w:cs="宋体"/>
          <w:spacing w:val="-3"/>
          <w:sz w:val="24"/>
          <w:szCs w:val="24"/>
          <w:lang w:val="zh-CN"/>
        </w:rPr>
        <w:t>授权代理人</w:t>
      </w:r>
      <w:r>
        <w:rPr>
          <w:rFonts w:hint="eastAsia" w:ascii="宋体" w:hAnsi="宋体" w:cs="宋体"/>
          <w:spacing w:val="-3"/>
          <w:sz w:val="24"/>
          <w:szCs w:val="24"/>
        </w:rPr>
        <w:t>(签字或签章)：________________</w:t>
      </w:r>
    </w:p>
    <w:p w14:paraId="171DE7B5">
      <w:pPr>
        <w:spacing w:before="181" w:line="219" w:lineRule="auto"/>
        <w:ind w:left="164"/>
        <w:rPr>
          <w:rFonts w:hint="eastAsia" w:ascii="宋体" w:hAnsi="宋体" w:cs="宋体"/>
          <w:sz w:val="24"/>
          <w:szCs w:val="24"/>
        </w:rPr>
      </w:pPr>
      <w:r>
        <w:rPr>
          <w:rFonts w:hint="eastAsia" w:ascii="宋体" w:hAnsi="宋体" w:cs="宋体"/>
          <w:spacing w:val="-32"/>
          <w:sz w:val="24"/>
          <w:szCs w:val="24"/>
        </w:rPr>
        <w:t>日</w:t>
      </w:r>
      <w:r>
        <w:rPr>
          <w:rFonts w:hint="eastAsia" w:ascii="宋体" w:hAnsi="宋体" w:cs="宋体"/>
          <w:spacing w:val="-16"/>
          <w:sz w:val="24"/>
          <w:szCs w:val="24"/>
        </w:rPr>
        <w:t>期： _____年______月______ 日</w:t>
      </w:r>
    </w:p>
    <w:p w14:paraId="714EB77C">
      <w:pPr>
        <w:spacing w:line="261" w:lineRule="auto"/>
        <w:rPr>
          <w:rFonts w:hint="eastAsia" w:ascii="宋体" w:hAnsi="宋体" w:cs="宋体"/>
          <w:sz w:val="24"/>
          <w:szCs w:val="24"/>
        </w:rPr>
      </w:pPr>
    </w:p>
    <w:p w14:paraId="73E1FABE">
      <w:pPr>
        <w:spacing w:line="261" w:lineRule="auto"/>
        <w:rPr>
          <w:rFonts w:hint="eastAsia" w:ascii="宋体" w:hAnsi="宋体" w:cs="宋体"/>
          <w:sz w:val="24"/>
          <w:szCs w:val="24"/>
        </w:rPr>
      </w:pPr>
    </w:p>
    <w:p w14:paraId="3F5D3E0A">
      <w:pPr>
        <w:spacing w:before="79" w:line="219" w:lineRule="auto"/>
        <w:ind w:left="141"/>
        <w:rPr>
          <w:rFonts w:hint="eastAsia" w:ascii="宋体" w:hAnsi="宋体" w:cs="宋体"/>
          <w:sz w:val="24"/>
          <w:szCs w:val="24"/>
        </w:rPr>
      </w:pPr>
      <w:r>
        <w:rPr>
          <w:rFonts w:hint="eastAsia" w:ascii="宋体" w:hAnsi="宋体" w:cs="宋体"/>
          <w:spacing w:val="-6"/>
          <w:sz w:val="24"/>
          <w:szCs w:val="24"/>
        </w:rPr>
        <w:t>附：法</w:t>
      </w:r>
      <w:r>
        <w:rPr>
          <w:rFonts w:hint="eastAsia" w:ascii="宋体" w:hAnsi="宋体" w:cs="宋体"/>
          <w:spacing w:val="-5"/>
          <w:sz w:val="24"/>
          <w:szCs w:val="24"/>
        </w:rPr>
        <w:t>定</w:t>
      </w:r>
      <w:r>
        <w:rPr>
          <w:rFonts w:hint="eastAsia" w:ascii="宋体" w:hAnsi="宋体" w:cs="宋体"/>
          <w:spacing w:val="-3"/>
          <w:sz w:val="24"/>
          <w:szCs w:val="24"/>
        </w:rPr>
        <w:t>代表人及</w:t>
      </w:r>
      <w:r>
        <w:rPr>
          <w:rFonts w:hint="eastAsia" w:ascii="宋体" w:hAnsi="宋体" w:cs="宋体"/>
          <w:spacing w:val="-3"/>
          <w:sz w:val="24"/>
          <w:szCs w:val="24"/>
          <w:lang w:val="zh-CN"/>
        </w:rPr>
        <w:t>授权代理人</w:t>
      </w:r>
      <w:r>
        <w:rPr>
          <w:rFonts w:hint="eastAsia" w:ascii="宋体" w:hAnsi="宋体" w:cs="宋体"/>
          <w:spacing w:val="-3"/>
          <w:sz w:val="24"/>
          <w:szCs w:val="24"/>
        </w:rPr>
        <w:t>身份双面电子件：</w:t>
      </w:r>
    </w:p>
    <w:p w14:paraId="7721D893">
      <w:pPr>
        <w:spacing w:before="144" w:line="2162" w:lineRule="exact"/>
        <w:textAlignment w:val="center"/>
        <w:rPr>
          <w:rFonts w:hint="eastAsia" w:ascii="宋体" w:hAnsi="宋体" w:cs="宋体"/>
          <w:sz w:val="24"/>
          <w:szCs w:val="24"/>
        </w:rPr>
      </w:pPr>
      <w:r>
        <w:rPr>
          <w:rFonts w:hint="eastAsia" w:ascii="宋体" w:hAnsi="宋体" w:cs="宋体"/>
          <w:sz w:val="24"/>
          <w:szCs w:val="24"/>
        </w:rPr>
        <w:drawing>
          <wp:inline distT="0" distB="0" distL="0" distR="0">
            <wp:extent cx="5274310" cy="1372235"/>
            <wp:effectExtent l="0" t="0" r="2540" b="18415"/>
            <wp:docPr id="51" name="IM 47"/>
            <wp:cNvGraphicFramePr/>
            <a:graphic xmlns:a="http://schemas.openxmlformats.org/drawingml/2006/main">
              <a:graphicData uri="http://schemas.openxmlformats.org/drawingml/2006/picture">
                <pic:pic xmlns:pic="http://schemas.openxmlformats.org/drawingml/2006/picture">
                  <pic:nvPicPr>
                    <pic:cNvPr id="51" name="IM 47"/>
                    <pic:cNvPicPr/>
                  </pic:nvPicPr>
                  <pic:blipFill>
                    <a:blip r:embed="rId24"/>
                    <a:stretch>
                      <a:fillRect/>
                    </a:stretch>
                  </pic:blipFill>
                  <pic:spPr>
                    <a:xfrm>
                      <a:off x="0" y="0"/>
                      <a:ext cx="5274319" cy="1372595"/>
                    </a:xfrm>
                    <a:prstGeom prst="rect">
                      <a:avLst/>
                    </a:prstGeom>
                  </pic:spPr>
                </pic:pic>
              </a:graphicData>
            </a:graphic>
          </wp:inline>
        </w:drawing>
      </w:r>
    </w:p>
    <w:p w14:paraId="687E8286">
      <w:pPr>
        <w:spacing w:line="360" w:lineRule="auto"/>
        <w:jc w:val="left"/>
        <w:rPr>
          <w:rFonts w:hint="eastAsia" w:ascii="宋体" w:hAnsi="宋体" w:cs="宋体"/>
          <w:sz w:val="24"/>
          <w:szCs w:val="24"/>
        </w:rPr>
      </w:pPr>
      <w:r>
        <w:rPr>
          <w:rFonts w:hint="eastAsia" w:ascii="宋体" w:hAnsi="宋体" w:cs="宋体"/>
          <w:sz w:val="24"/>
          <w:szCs w:val="24"/>
        </w:rPr>
        <w:t>说明：</w:t>
      </w:r>
    </w:p>
    <w:p w14:paraId="58624A16">
      <w:pPr>
        <w:spacing w:line="360" w:lineRule="auto"/>
        <w:jc w:val="left"/>
        <w:rPr>
          <w:rFonts w:hint="eastAsia" w:ascii="宋体" w:hAnsi="宋体" w:cs="宋体"/>
          <w:sz w:val="24"/>
          <w:szCs w:val="24"/>
        </w:rPr>
      </w:pPr>
      <w:r>
        <w:rPr>
          <w:rFonts w:hint="eastAsia" w:ascii="宋体" w:hAnsi="宋体" w:cs="宋体"/>
          <w:sz w:val="24"/>
          <w:szCs w:val="24"/>
        </w:rPr>
        <w:t>1.若供应商为事业单位或其他组织或分支机构，则法定代表人处的签署人可为单位负责人。</w:t>
      </w:r>
    </w:p>
    <w:p w14:paraId="4DC10E0D">
      <w:pPr>
        <w:spacing w:line="360" w:lineRule="auto"/>
        <w:jc w:val="left"/>
        <w:rPr>
          <w:rFonts w:hint="eastAsia" w:ascii="宋体" w:hAnsi="宋体" w:cs="宋体"/>
          <w:sz w:val="24"/>
          <w:szCs w:val="24"/>
        </w:rPr>
      </w:pPr>
      <w:r>
        <w:rPr>
          <w:rFonts w:hint="eastAsia" w:ascii="宋体" w:hAnsi="宋体" w:cs="宋体"/>
          <w:sz w:val="24"/>
          <w:szCs w:val="24"/>
        </w:rPr>
        <w:t xml:space="preserve">2.若投标文件中签字之处均为法定代表人(单位负责人) 本人签署，则可不提供本《授权委托书》，但须提供《法定代表人(单位负责人) 身份证明》；否则，不需要提供《法定代表人(单位负责人)身份证明》。                                           </w:t>
      </w:r>
    </w:p>
    <w:p w14:paraId="0244DD52">
      <w:pPr>
        <w:spacing w:line="360" w:lineRule="auto"/>
        <w:jc w:val="left"/>
        <w:rPr>
          <w:rFonts w:hint="eastAsia" w:ascii="宋体" w:hAnsi="宋体" w:cs="宋体"/>
          <w:sz w:val="24"/>
          <w:szCs w:val="24"/>
        </w:rPr>
      </w:pPr>
      <w:r>
        <w:rPr>
          <w:rFonts w:hint="eastAsia" w:ascii="宋体" w:hAnsi="宋体" w:cs="宋体"/>
          <w:sz w:val="24"/>
          <w:szCs w:val="24"/>
        </w:rPr>
        <w:t xml:space="preserve">3.供应商为自然人的情形，可不提供本《授权委托书》。                           </w:t>
      </w:r>
    </w:p>
    <w:p w14:paraId="26EB490A">
      <w:pPr>
        <w:spacing w:line="360" w:lineRule="auto"/>
        <w:jc w:val="left"/>
        <w:rPr>
          <w:rFonts w:hint="eastAsia" w:ascii="宋体" w:hAnsi="宋体" w:cs="宋体"/>
          <w:sz w:val="24"/>
          <w:szCs w:val="24"/>
        </w:rPr>
      </w:pPr>
      <w:r>
        <w:rPr>
          <w:rFonts w:hint="eastAsia" w:ascii="宋体" w:hAnsi="宋体" w:cs="宋体"/>
          <w:sz w:val="24"/>
          <w:szCs w:val="24"/>
        </w:rPr>
        <w:t>4.供应商应随本《授权委托书》同时提供法定代表人(单位负责人)及委托代理人的有效的身份证证明文件电子件。提供身份证的，应同时提供身份证双面电子件。</w:t>
      </w:r>
    </w:p>
    <w:p w14:paraId="2B5DCB98">
      <w:pPr>
        <w:rPr>
          <w:rFonts w:hint="eastAsia" w:ascii="宋体" w:hAnsi="宋体" w:cs="宋体"/>
          <w:sz w:val="24"/>
          <w:szCs w:val="24"/>
        </w:rPr>
        <w:sectPr>
          <w:headerReference r:id="rId14" w:type="default"/>
          <w:footerReference r:id="rId15" w:type="default"/>
          <w:pgSz w:w="11907" w:h="16840"/>
          <w:pgMar w:top="1440" w:right="1080" w:bottom="1440" w:left="1080" w:header="878" w:footer="886" w:gutter="0"/>
          <w:cols w:space="720" w:num="1"/>
        </w:sectPr>
      </w:pPr>
    </w:p>
    <w:p w14:paraId="48585139">
      <w:pPr>
        <w:spacing w:before="91" w:line="220" w:lineRule="auto"/>
        <w:jc w:val="center"/>
        <w:outlineLvl w:val="2"/>
        <w:rPr>
          <w:rFonts w:hint="eastAsia" w:ascii="宋体" w:hAnsi="宋体" w:cs="宋体"/>
          <w:sz w:val="28"/>
          <w:szCs w:val="28"/>
        </w:rPr>
      </w:pPr>
      <w:r>
        <w:rPr>
          <w:rFonts w:ascii="宋体" w:hAnsi="宋体" w:cs="宋体"/>
          <w:spacing w:val="-7"/>
          <w:sz w:val="28"/>
          <w:szCs w:val="28"/>
          <w14:textOutline w14:w="5105" w14:cap="sq" w14:cmpd="sng" w14:algn="ctr">
            <w14:solidFill>
              <w14:srgbClr w14:val="000000"/>
            </w14:solidFill>
            <w14:prstDash w14:val="solid"/>
            <w14:bevel/>
          </w14:textOutline>
        </w:rPr>
        <w:t>四</w:t>
      </w:r>
      <w:r>
        <w:rPr>
          <w:rFonts w:ascii="宋体" w:hAnsi="宋体" w:cs="宋体"/>
          <w:spacing w:val="-6"/>
          <w:sz w:val="28"/>
          <w:szCs w:val="28"/>
          <w14:textOutline w14:w="5105" w14:cap="sq" w14:cmpd="sng" w14:algn="ctr">
            <w14:solidFill>
              <w14:srgbClr w14:val="000000"/>
            </w14:solidFill>
            <w14:prstDash w14:val="solid"/>
            <w14:bevel/>
          </w14:textOutline>
        </w:rPr>
        <w:t>、投标人的营业执照等证明文件，</w:t>
      </w:r>
      <w:r>
        <w:rPr>
          <w:rFonts w:ascii="宋体" w:hAnsi="宋体" w:cs="宋体"/>
          <w:spacing w:val="-6"/>
          <w:sz w:val="28"/>
          <w:szCs w:val="28"/>
        </w:rPr>
        <w:t xml:space="preserve"> </w:t>
      </w:r>
      <w:r>
        <w:rPr>
          <w:rFonts w:ascii="宋体" w:hAnsi="宋体" w:cs="宋体"/>
          <w:spacing w:val="-6"/>
          <w:sz w:val="28"/>
          <w:szCs w:val="28"/>
          <w14:textOutline w14:w="5105" w14:cap="sq" w14:cmpd="sng" w14:algn="ctr">
            <w14:solidFill>
              <w14:srgbClr w14:val="000000"/>
            </w14:solidFill>
            <w14:prstDash w14:val="solid"/>
            <w14:bevel/>
          </w14:textOutline>
        </w:rPr>
        <w:t>自然人的身份证明</w:t>
      </w:r>
    </w:p>
    <w:p w14:paraId="7F30CAB9">
      <w:pPr>
        <w:ind w:firstLine="1200" w:firstLineChars="500"/>
        <w:jc w:val="left"/>
        <w:rPr>
          <w:rFonts w:hint="eastAsia" w:ascii="宋体" w:hAnsi="宋体" w:cs="宋体"/>
          <w:sz w:val="24"/>
          <w:szCs w:val="24"/>
        </w:rPr>
      </w:pPr>
      <w:r>
        <w:rPr>
          <w:rFonts w:hint="eastAsia" w:ascii="宋体" w:hAnsi="宋体" w:cs="宋体"/>
          <w:sz w:val="24"/>
          <w:szCs w:val="24"/>
        </w:rPr>
        <w:t>说明：</w:t>
      </w:r>
    </w:p>
    <w:p w14:paraId="0DDE254E">
      <w:pPr>
        <w:jc w:val="center"/>
        <w:rPr>
          <w:rFonts w:hint="eastAsia" w:ascii="宋体" w:hAnsi="宋体" w:cs="宋体"/>
          <w:sz w:val="24"/>
          <w:szCs w:val="24"/>
        </w:rPr>
      </w:pPr>
      <w:r>
        <w:rPr>
          <w:rFonts w:hint="eastAsia" w:ascii="宋体" w:hAnsi="宋体" w:cs="宋体"/>
          <w:sz w:val="24"/>
          <w:szCs w:val="24"/>
        </w:rPr>
        <w:t>(1) 企业单位投标提供有效的营业执照 (3 证合 1 或多证合 1)；或</w:t>
      </w:r>
    </w:p>
    <w:p w14:paraId="1E49CBD3">
      <w:pPr>
        <w:jc w:val="center"/>
        <w:rPr>
          <w:rFonts w:hint="eastAsia" w:ascii="宋体" w:hAnsi="宋体" w:cs="宋体"/>
          <w:sz w:val="24"/>
          <w:szCs w:val="24"/>
        </w:rPr>
      </w:pPr>
      <w:r>
        <w:rPr>
          <w:rFonts w:hint="eastAsia" w:ascii="宋体" w:hAnsi="宋体" w:cs="宋体"/>
          <w:sz w:val="24"/>
          <w:szCs w:val="24"/>
        </w:rPr>
        <w:t>(2) 事业单位投标提供有效的法人证书 (带有社会统一信用代码)；或</w:t>
      </w:r>
    </w:p>
    <w:p w14:paraId="101D10C2">
      <w:pPr>
        <w:jc w:val="center"/>
        <w:rPr>
          <w:rFonts w:hint="eastAsia" w:ascii="宋体" w:hAnsi="宋体" w:cs="宋体"/>
          <w:sz w:val="24"/>
          <w:szCs w:val="24"/>
        </w:rPr>
      </w:pPr>
      <w:r>
        <w:rPr>
          <w:rFonts w:hint="eastAsia" w:ascii="宋体" w:hAnsi="宋体" w:cs="宋体"/>
          <w:sz w:val="24"/>
          <w:szCs w:val="24"/>
        </w:rPr>
        <w:t>(3) 其他组织投标提供有效的登记证书 (带有社会统一信用代码)；或</w:t>
      </w:r>
    </w:p>
    <w:p w14:paraId="4618914F">
      <w:pPr>
        <w:ind w:firstLine="1680" w:firstLineChars="700"/>
        <w:rPr>
          <w:rFonts w:hint="eastAsia" w:ascii="宋体" w:hAnsi="宋体" w:cs="宋体"/>
          <w:sz w:val="24"/>
          <w:szCs w:val="24"/>
        </w:rPr>
      </w:pPr>
      <w:r>
        <w:rPr>
          <w:rFonts w:hint="eastAsia" w:ascii="宋体" w:hAnsi="宋体" w:cs="宋体"/>
          <w:sz w:val="24"/>
          <w:szCs w:val="24"/>
        </w:rPr>
        <w:t>(4) 自然人投标提供有效的身份证复印件；</w:t>
      </w:r>
    </w:p>
    <w:p w14:paraId="378B4B55">
      <w:pPr>
        <w:jc w:val="center"/>
        <w:rPr>
          <w:rFonts w:hint="eastAsia" w:ascii="宋体" w:hAnsi="宋体" w:cs="宋体"/>
          <w:sz w:val="24"/>
          <w:szCs w:val="24"/>
        </w:rPr>
      </w:pPr>
      <w:r>
        <w:rPr>
          <w:rFonts w:hint="eastAsia" w:ascii="宋体" w:hAnsi="宋体" w:cs="宋体"/>
          <w:sz w:val="24"/>
          <w:szCs w:val="24"/>
        </w:rPr>
        <w:t>以上 (1) - (3) 项为正本或者副本复印件，并加盖投标人单位章。</w:t>
      </w:r>
    </w:p>
    <w:p w14:paraId="75D5C83A">
      <w:pPr>
        <w:autoSpaceDE w:val="0"/>
        <w:autoSpaceDN w:val="0"/>
        <w:adjustRightInd w:val="0"/>
        <w:jc w:val="center"/>
        <w:rPr>
          <w:rFonts w:hint="eastAsia" w:ascii="宋体" w:hAnsi="宋体" w:cs="宋体"/>
          <w:b/>
          <w:bCs/>
          <w:color w:val="000000"/>
          <w:sz w:val="28"/>
          <w:szCs w:val="28"/>
          <w:lang w:val="zh-CN"/>
        </w:rPr>
      </w:pPr>
    </w:p>
    <w:p w14:paraId="256F5CCC">
      <w:pPr>
        <w:autoSpaceDE w:val="0"/>
        <w:autoSpaceDN w:val="0"/>
        <w:adjustRightInd w:val="0"/>
        <w:jc w:val="center"/>
        <w:rPr>
          <w:rFonts w:hint="eastAsia" w:ascii="宋体" w:hAnsi="宋体" w:cs="宋体"/>
          <w:b/>
          <w:bCs/>
          <w:color w:val="000000"/>
          <w:sz w:val="28"/>
          <w:szCs w:val="28"/>
          <w:lang w:val="zh-CN"/>
        </w:rPr>
      </w:pPr>
    </w:p>
    <w:p w14:paraId="3C47BE2C">
      <w:pPr>
        <w:autoSpaceDE w:val="0"/>
        <w:autoSpaceDN w:val="0"/>
        <w:adjustRightInd w:val="0"/>
        <w:jc w:val="center"/>
        <w:rPr>
          <w:rFonts w:hint="eastAsia" w:ascii="宋体" w:hAnsi="宋体" w:cs="宋体"/>
          <w:b/>
          <w:bCs/>
          <w:color w:val="000000"/>
          <w:sz w:val="28"/>
          <w:szCs w:val="28"/>
          <w:lang w:val="zh-CN"/>
        </w:rPr>
      </w:pPr>
    </w:p>
    <w:p w14:paraId="27578370">
      <w:pPr>
        <w:autoSpaceDE w:val="0"/>
        <w:autoSpaceDN w:val="0"/>
        <w:adjustRightInd w:val="0"/>
        <w:jc w:val="center"/>
        <w:rPr>
          <w:rFonts w:hint="eastAsia" w:ascii="宋体" w:hAnsi="宋体" w:cs="宋体"/>
          <w:b/>
          <w:bCs/>
          <w:color w:val="000000"/>
          <w:sz w:val="28"/>
          <w:szCs w:val="28"/>
          <w:lang w:val="zh-CN"/>
        </w:rPr>
      </w:pPr>
    </w:p>
    <w:p w14:paraId="635A3747">
      <w:pPr>
        <w:autoSpaceDE w:val="0"/>
        <w:autoSpaceDN w:val="0"/>
        <w:adjustRightInd w:val="0"/>
        <w:jc w:val="center"/>
        <w:rPr>
          <w:rFonts w:hint="eastAsia" w:ascii="宋体" w:hAnsi="宋体" w:cs="宋体"/>
          <w:b/>
          <w:bCs/>
          <w:color w:val="000000"/>
          <w:sz w:val="28"/>
          <w:szCs w:val="28"/>
          <w:lang w:val="zh-CN"/>
        </w:rPr>
      </w:pPr>
    </w:p>
    <w:p w14:paraId="17078599">
      <w:pPr>
        <w:autoSpaceDE w:val="0"/>
        <w:autoSpaceDN w:val="0"/>
        <w:adjustRightInd w:val="0"/>
        <w:jc w:val="center"/>
        <w:rPr>
          <w:rFonts w:hint="eastAsia" w:ascii="宋体" w:hAnsi="宋体" w:cs="宋体"/>
          <w:b/>
          <w:bCs/>
          <w:color w:val="000000"/>
          <w:sz w:val="28"/>
          <w:szCs w:val="28"/>
          <w:lang w:val="zh-CN"/>
        </w:rPr>
      </w:pPr>
    </w:p>
    <w:p w14:paraId="169CFA27">
      <w:pPr>
        <w:autoSpaceDE w:val="0"/>
        <w:autoSpaceDN w:val="0"/>
        <w:adjustRightInd w:val="0"/>
        <w:jc w:val="center"/>
        <w:rPr>
          <w:rFonts w:hint="eastAsia" w:ascii="宋体" w:hAnsi="宋体" w:cs="宋体"/>
          <w:b/>
          <w:bCs/>
          <w:color w:val="000000"/>
          <w:sz w:val="28"/>
          <w:szCs w:val="28"/>
          <w:lang w:val="zh-CN"/>
        </w:rPr>
      </w:pPr>
    </w:p>
    <w:p w14:paraId="1F356D28">
      <w:pPr>
        <w:autoSpaceDE w:val="0"/>
        <w:autoSpaceDN w:val="0"/>
        <w:adjustRightInd w:val="0"/>
        <w:jc w:val="center"/>
        <w:rPr>
          <w:rFonts w:hint="eastAsia" w:ascii="宋体" w:hAnsi="宋体" w:cs="宋体"/>
          <w:b/>
          <w:bCs/>
          <w:color w:val="000000"/>
          <w:sz w:val="28"/>
          <w:szCs w:val="28"/>
          <w:lang w:val="zh-CN"/>
        </w:rPr>
      </w:pPr>
    </w:p>
    <w:p w14:paraId="5FA959D7">
      <w:pPr>
        <w:autoSpaceDE w:val="0"/>
        <w:autoSpaceDN w:val="0"/>
        <w:adjustRightInd w:val="0"/>
        <w:jc w:val="center"/>
        <w:rPr>
          <w:rFonts w:hint="eastAsia" w:ascii="宋体" w:hAnsi="宋体" w:cs="宋体"/>
          <w:b/>
          <w:bCs/>
          <w:color w:val="000000"/>
          <w:sz w:val="28"/>
          <w:szCs w:val="28"/>
          <w:lang w:val="zh-CN"/>
        </w:rPr>
      </w:pPr>
    </w:p>
    <w:p w14:paraId="7EE883CA">
      <w:pPr>
        <w:autoSpaceDE w:val="0"/>
        <w:autoSpaceDN w:val="0"/>
        <w:adjustRightInd w:val="0"/>
        <w:jc w:val="center"/>
        <w:rPr>
          <w:rFonts w:hint="eastAsia" w:ascii="宋体" w:hAnsi="宋体" w:cs="宋体"/>
          <w:b/>
          <w:bCs/>
          <w:color w:val="000000"/>
          <w:sz w:val="28"/>
          <w:szCs w:val="28"/>
          <w:lang w:val="zh-CN"/>
        </w:rPr>
      </w:pPr>
    </w:p>
    <w:p w14:paraId="3914D1CC">
      <w:pPr>
        <w:autoSpaceDE w:val="0"/>
        <w:autoSpaceDN w:val="0"/>
        <w:adjustRightInd w:val="0"/>
        <w:jc w:val="center"/>
        <w:rPr>
          <w:rFonts w:hint="eastAsia" w:ascii="宋体" w:hAnsi="宋体" w:cs="宋体"/>
          <w:b/>
          <w:bCs/>
          <w:color w:val="000000"/>
          <w:sz w:val="28"/>
          <w:szCs w:val="28"/>
          <w:lang w:val="zh-CN"/>
        </w:rPr>
      </w:pPr>
    </w:p>
    <w:p w14:paraId="6EC14ADC">
      <w:pPr>
        <w:autoSpaceDE w:val="0"/>
        <w:autoSpaceDN w:val="0"/>
        <w:adjustRightInd w:val="0"/>
        <w:jc w:val="center"/>
        <w:rPr>
          <w:rFonts w:hint="eastAsia" w:ascii="宋体" w:hAnsi="宋体" w:cs="宋体"/>
          <w:b/>
          <w:bCs/>
          <w:color w:val="000000"/>
          <w:sz w:val="28"/>
          <w:szCs w:val="28"/>
          <w:lang w:val="zh-CN"/>
        </w:rPr>
      </w:pPr>
    </w:p>
    <w:p w14:paraId="0861CC44">
      <w:pPr>
        <w:autoSpaceDE w:val="0"/>
        <w:autoSpaceDN w:val="0"/>
        <w:adjustRightInd w:val="0"/>
        <w:jc w:val="center"/>
        <w:rPr>
          <w:rFonts w:hint="eastAsia" w:ascii="宋体" w:hAnsi="宋体" w:cs="宋体"/>
          <w:b/>
          <w:bCs/>
          <w:color w:val="000000"/>
          <w:sz w:val="28"/>
          <w:szCs w:val="28"/>
          <w:lang w:val="zh-CN"/>
        </w:rPr>
      </w:pPr>
    </w:p>
    <w:p w14:paraId="2AE60760">
      <w:pPr>
        <w:autoSpaceDE w:val="0"/>
        <w:autoSpaceDN w:val="0"/>
        <w:adjustRightInd w:val="0"/>
        <w:jc w:val="center"/>
        <w:rPr>
          <w:rFonts w:hint="eastAsia" w:ascii="宋体" w:hAnsi="宋体" w:cs="宋体"/>
          <w:b/>
          <w:bCs/>
          <w:color w:val="000000"/>
          <w:sz w:val="28"/>
          <w:szCs w:val="28"/>
          <w:lang w:val="zh-CN"/>
        </w:rPr>
      </w:pPr>
    </w:p>
    <w:p w14:paraId="55B5A9F7">
      <w:pPr>
        <w:autoSpaceDE w:val="0"/>
        <w:autoSpaceDN w:val="0"/>
        <w:adjustRightInd w:val="0"/>
        <w:jc w:val="center"/>
        <w:rPr>
          <w:rFonts w:hint="eastAsia" w:ascii="宋体" w:hAnsi="宋体" w:cs="宋体"/>
          <w:b/>
          <w:bCs/>
          <w:color w:val="000000"/>
          <w:sz w:val="28"/>
          <w:szCs w:val="28"/>
          <w:lang w:val="zh-CN"/>
        </w:rPr>
      </w:pPr>
    </w:p>
    <w:p w14:paraId="35465C7F">
      <w:pPr>
        <w:autoSpaceDE w:val="0"/>
        <w:autoSpaceDN w:val="0"/>
        <w:adjustRightInd w:val="0"/>
        <w:jc w:val="center"/>
        <w:rPr>
          <w:rFonts w:hint="eastAsia" w:ascii="宋体" w:hAnsi="宋体" w:cs="宋体"/>
          <w:b/>
          <w:bCs/>
          <w:color w:val="000000"/>
          <w:sz w:val="28"/>
          <w:szCs w:val="28"/>
          <w:lang w:val="zh-CN"/>
        </w:rPr>
      </w:pPr>
    </w:p>
    <w:p w14:paraId="67573FF6">
      <w:pPr>
        <w:autoSpaceDE w:val="0"/>
        <w:autoSpaceDN w:val="0"/>
        <w:adjustRightInd w:val="0"/>
        <w:jc w:val="center"/>
        <w:rPr>
          <w:rFonts w:hint="eastAsia" w:ascii="宋体" w:hAnsi="宋体" w:cs="宋体"/>
          <w:b/>
          <w:bCs/>
          <w:color w:val="000000"/>
          <w:sz w:val="28"/>
          <w:szCs w:val="28"/>
          <w:lang w:val="zh-CN"/>
        </w:rPr>
      </w:pPr>
    </w:p>
    <w:p w14:paraId="193DB9AE">
      <w:pPr>
        <w:autoSpaceDE w:val="0"/>
        <w:autoSpaceDN w:val="0"/>
        <w:adjustRightInd w:val="0"/>
        <w:jc w:val="center"/>
        <w:rPr>
          <w:rFonts w:hint="eastAsia" w:ascii="宋体" w:hAnsi="宋体" w:cs="宋体"/>
          <w:b/>
          <w:bCs/>
          <w:color w:val="000000"/>
          <w:sz w:val="28"/>
          <w:szCs w:val="28"/>
          <w:lang w:val="zh-CN"/>
        </w:rPr>
      </w:pPr>
    </w:p>
    <w:p w14:paraId="7008FE9B">
      <w:pPr>
        <w:spacing w:before="169" w:line="230" w:lineRule="auto"/>
        <w:jc w:val="center"/>
        <w:outlineLvl w:val="2"/>
        <w:rPr>
          <w:rFonts w:hint="eastAsia" w:ascii="宋体" w:hAnsi="宋体" w:cs="宋体"/>
          <w:spacing w:val="-1"/>
          <w:sz w:val="28"/>
          <w:szCs w:val="28"/>
          <w14:textOutline w14:w="5105" w14:cap="sq" w14:cmpd="sng" w14:algn="ctr">
            <w14:solidFill>
              <w14:srgbClr w14:val="000000"/>
            </w14:solidFill>
            <w14:prstDash w14:val="solid"/>
            <w14:bevel/>
          </w14:textOutline>
        </w:rPr>
      </w:pPr>
    </w:p>
    <w:p w14:paraId="241C7B91">
      <w:pPr>
        <w:spacing w:before="169" w:line="230" w:lineRule="auto"/>
        <w:jc w:val="center"/>
        <w:outlineLvl w:val="2"/>
        <w:rPr>
          <w:rFonts w:hint="eastAsia" w:ascii="宋体" w:hAnsi="宋体" w:cs="宋体"/>
          <w:spacing w:val="-1"/>
          <w:sz w:val="28"/>
          <w:szCs w:val="28"/>
          <w14:textOutline w14:w="5105" w14:cap="sq" w14:cmpd="sng" w14:algn="ctr">
            <w14:solidFill>
              <w14:srgbClr w14:val="000000"/>
            </w14:solidFill>
            <w14:prstDash w14:val="solid"/>
            <w14:bevel/>
          </w14:textOutline>
        </w:rPr>
      </w:pPr>
    </w:p>
    <w:p w14:paraId="73BD3BDF">
      <w:pPr>
        <w:spacing w:before="169" w:line="230" w:lineRule="auto"/>
        <w:jc w:val="center"/>
        <w:outlineLvl w:val="2"/>
        <w:rPr>
          <w:rFonts w:hint="eastAsia" w:ascii="宋体" w:hAnsi="宋体" w:cs="宋体"/>
          <w:sz w:val="28"/>
          <w:szCs w:val="28"/>
        </w:rPr>
      </w:pPr>
      <w:r>
        <w:rPr>
          <w:rFonts w:ascii="宋体" w:hAnsi="宋体" w:cs="宋体"/>
          <w:spacing w:val="-1"/>
          <w:sz w:val="28"/>
          <w:szCs w:val="28"/>
          <w14:textOutline w14:w="5105" w14:cap="sq" w14:cmpd="sng" w14:algn="ctr">
            <w14:solidFill>
              <w14:srgbClr w14:val="000000"/>
            </w14:solidFill>
            <w14:prstDash w14:val="solid"/>
            <w14:bevel/>
          </w14:textOutline>
        </w:rPr>
        <w:t>五、财务状况报</w:t>
      </w:r>
      <w:r>
        <w:rPr>
          <w:rFonts w:ascii="宋体" w:hAnsi="宋体" w:cs="宋体"/>
          <w:sz w:val="28"/>
          <w:szCs w:val="28"/>
          <w14:textOutline w14:w="5105" w14:cap="sq" w14:cmpd="sng" w14:algn="ctr">
            <w14:solidFill>
              <w14:srgbClr w14:val="000000"/>
            </w14:solidFill>
            <w14:prstDash w14:val="solid"/>
            <w14:bevel/>
          </w14:textOutline>
        </w:rPr>
        <w:t>告</w:t>
      </w:r>
    </w:p>
    <w:p w14:paraId="3DAEBDD1">
      <w:pPr>
        <w:rPr>
          <w:rFonts w:hint="eastAsia" w:ascii="宋体" w:hAnsi="宋体" w:cs="宋体"/>
          <w:sz w:val="24"/>
          <w:szCs w:val="24"/>
        </w:rPr>
      </w:pPr>
      <w:r>
        <w:rPr>
          <w:rFonts w:hint="eastAsia" w:ascii="宋体" w:hAnsi="宋体" w:cs="宋体"/>
          <w:sz w:val="24"/>
          <w:szCs w:val="24"/>
        </w:rPr>
        <w:t>说明：</w:t>
      </w:r>
    </w:p>
    <w:p w14:paraId="73B4D2AA">
      <w:pPr>
        <w:rPr>
          <w:rFonts w:hint="eastAsia" w:ascii="宋体" w:hAnsi="宋体" w:cs="宋体"/>
          <w:sz w:val="24"/>
          <w:szCs w:val="24"/>
        </w:rPr>
      </w:pPr>
      <w:r>
        <w:rPr>
          <w:rFonts w:hint="eastAsia" w:ascii="宋体" w:hAnsi="宋体" w:cs="宋体"/>
          <w:sz w:val="24"/>
          <w:szCs w:val="24"/>
        </w:rPr>
        <w:t>提供经第三方会计师事务所审计的2023年完整有效的企业财务审计报告或提供其基本开户银行在投标截止日前，六个月内出具的资信证明（银行出具的存款证明不能替代银行资信证明）</w:t>
      </w:r>
      <w:r>
        <w:rPr>
          <w:rFonts w:hint="eastAsia" w:ascii="宋体" w:hAnsi="宋体" w:cs="宋体"/>
          <w:b/>
          <w:bCs/>
          <w:sz w:val="24"/>
          <w:szCs w:val="24"/>
        </w:rPr>
        <w:t>（投标文件内附复印件并加盖公章）</w:t>
      </w:r>
      <w:r>
        <w:rPr>
          <w:rFonts w:hint="eastAsia" w:ascii="宋体" w:hAnsi="宋体" w:cs="宋体"/>
          <w:sz w:val="24"/>
          <w:szCs w:val="24"/>
        </w:rPr>
        <w:t>。</w:t>
      </w:r>
    </w:p>
    <w:p w14:paraId="7B02B87E">
      <w:pPr>
        <w:rPr>
          <w:rFonts w:hint="eastAsia" w:ascii="宋体" w:hAnsi="宋体" w:cs="宋体"/>
          <w:sz w:val="24"/>
          <w:szCs w:val="24"/>
        </w:rPr>
      </w:pPr>
    </w:p>
    <w:p w14:paraId="326CB9FA">
      <w:pPr>
        <w:autoSpaceDE w:val="0"/>
        <w:autoSpaceDN w:val="0"/>
        <w:adjustRightInd w:val="0"/>
        <w:jc w:val="center"/>
        <w:rPr>
          <w:rFonts w:hint="eastAsia" w:ascii="宋体" w:hAnsi="宋体" w:cs="宋体"/>
          <w:b/>
          <w:bCs/>
          <w:color w:val="000000"/>
          <w:sz w:val="28"/>
          <w:szCs w:val="28"/>
          <w:lang w:val="zh-CN"/>
        </w:rPr>
      </w:pPr>
    </w:p>
    <w:p w14:paraId="10277D92">
      <w:pPr>
        <w:autoSpaceDE w:val="0"/>
        <w:autoSpaceDN w:val="0"/>
        <w:adjustRightInd w:val="0"/>
        <w:jc w:val="center"/>
        <w:rPr>
          <w:rFonts w:hint="eastAsia" w:ascii="宋体" w:hAnsi="宋体" w:cs="宋体"/>
          <w:b/>
          <w:bCs/>
          <w:color w:val="000000"/>
          <w:sz w:val="28"/>
          <w:szCs w:val="28"/>
          <w:lang w:val="zh-CN"/>
        </w:rPr>
      </w:pPr>
    </w:p>
    <w:p w14:paraId="56090408">
      <w:pPr>
        <w:autoSpaceDE w:val="0"/>
        <w:autoSpaceDN w:val="0"/>
        <w:adjustRightInd w:val="0"/>
        <w:jc w:val="center"/>
        <w:rPr>
          <w:rFonts w:hint="eastAsia" w:ascii="宋体" w:hAnsi="宋体" w:cs="宋体"/>
          <w:b/>
          <w:bCs/>
          <w:color w:val="000000"/>
          <w:sz w:val="28"/>
          <w:szCs w:val="28"/>
          <w:lang w:val="zh-CN"/>
        </w:rPr>
      </w:pPr>
    </w:p>
    <w:p w14:paraId="32EC9760">
      <w:pPr>
        <w:autoSpaceDE w:val="0"/>
        <w:autoSpaceDN w:val="0"/>
        <w:adjustRightInd w:val="0"/>
        <w:jc w:val="center"/>
        <w:rPr>
          <w:rFonts w:hint="eastAsia" w:ascii="宋体" w:hAnsi="宋体" w:cs="宋体"/>
          <w:b/>
          <w:bCs/>
          <w:color w:val="000000"/>
          <w:sz w:val="28"/>
          <w:szCs w:val="28"/>
          <w:lang w:val="zh-CN"/>
        </w:rPr>
      </w:pPr>
    </w:p>
    <w:p w14:paraId="39780A01">
      <w:pPr>
        <w:autoSpaceDE w:val="0"/>
        <w:autoSpaceDN w:val="0"/>
        <w:adjustRightInd w:val="0"/>
        <w:jc w:val="center"/>
        <w:rPr>
          <w:rFonts w:hint="eastAsia" w:ascii="宋体" w:hAnsi="宋体" w:cs="宋体"/>
          <w:b/>
          <w:bCs/>
          <w:color w:val="000000"/>
          <w:sz w:val="28"/>
          <w:szCs w:val="28"/>
          <w:lang w:val="zh-CN"/>
        </w:rPr>
      </w:pPr>
    </w:p>
    <w:p w14:paraId="4D2490D2">
      <w:pPr>
        <w:autoSpaceDE w:val="0"/>
        <w:autoSpaceDN w:val="0"/>
        <w:adjustRightInd w:val="0"/>
        <w:jc w:val="center"/>
        <w:rPr>
          <w:rFonts w:hint="eastAsia" w:ascii="宋体" w:hAnsi="宋体" w:cs="宋体"/>
          <w:b/>
          <w:bCs/>
          <w:color w:val="000000"/>
          <w:sz w:val="28"/>
          <w:szCs w:val="28"/>
          <w:lang w:val="zh-CN"/>
        </w:rPr>
      </w:pPr>
    </w:p>
    <w:p w14:paraId="0ED49492">
      <w:pPr>
        <w:autoSpaceDE w:val="0"/>
        <w:autoSpaceDN w:val="0"/>
        <w:adjustRightInd w:val="0"/>
        <w:jc w:val="center"/>
        <w:rPr>
          <w:rFonts w:hint="eastAsia" w:ascii="宋体" w:hAnsi="宋体" w:cs="宋体"/>
          <w:b/>
          <w:bCs/>
          <w:color w:val="000000"/>
          <w:sz w:val="28"/>
          <w:szCs w:val="28"/>
          <w:lang w:val="zh-CN"/>
        </w:rPr>
      </w:pPr>
    </w:p>
    <w:p w14:paraId="0C545512">
      <w:pPr>
        <w:autoSpaceDE w:val="0"/>
        <w:autoSpaceDN w:val="0"/>
        <w:adjustRightInd w:val="0"/>
        <w:jc w:val="center"/>
        <w:rPr>
          <w:rFonts w:hint="eastAsia" w:ascii="宋体" w:hAnsi="宋体" w:cs="宋体"/>
          <w:b/>
          <w:bCs/>
          <w:color w:val="000000"/>
          <w:sz w:val="28"/>
          <w:szCs w:val="28"/>
          <w:lang w:val="zh-CN"/>
        </w:rPr>
      </w:pPr>
    </w:p>
    <w:p w14:paraId="1A505794">
      <w:pPr>
        <w:autoSpaceDE w:val="0"/>
        <w:autoSpaceDN w:val="0"/>
        <w:adjustRightInd w:val="0"/>
        <w:jc w:val="center"/>
        <w:rPr>
          <w:rFonts w:hint="eastAsia" w:ascii="宋体" w:hAnsi="宋体" w:cs="宋体"/>
          <w:b/>
          <w:bCs/>
          <w:color w:val="000000"/>
          <w:sz w:val="28"/>
          <w:szCs w:val="28"/>
          <w:lang w:val="zh-CN"/>
        </w:rPr>
      </w:pPr>
    </w:p>
    <w:p w14:paraId="173C798C">
      <w:pPr>
        <w:autoSpaceDE w:val="0"/>
        <w:autoSpaceDN w:val="0"/>
        <w:adjustRightInd w:val="0"/>
        <w:jc w:val="center"/>
        <w:rPr>
          <w:rFonts w:hint="eastAsia" w:ascii="宋体" w:hAnsi="宋体" w:cs="宋体"/>
          <w:b/>
          <w:bCs/>
          <w:color w:val="000000"/>
          <w:sz w:val="28"/>
          <w:szCs w:val="28"/>
          <w:lang w:val="zh-CN"/>
        </w:rPr>
      </w:pPr>
    </w:p>
    <w:p w14:paraId="060FACDB">
      <w:pPr>
        <w:autoSpaceDE w:val="0"/>
        <w:autoSpaceDN w:val="0"/>
        <w:adjustRightInd w:val="0"/>
        <w:jc w:val="center"/>
        <w:rPr>
          <w:rFonts w:hint="eastAsia" w:ascii="宋体" w:hAnsi="宋体" w:cs="宋体"/>
          <w:b/>
          <w:bCs/>
          <w:color w:val="000000"/>
          <w:sz w:val="28"/>
          <w:szCs w:val="28"/>
          <w:lang w:val="zh-CN"/>
        </w:rPr>
      </w:pPr>
    </w:p>
    <w:p w14:paraId="2266FB7E">
      <w:pPr>
        <w:autoSpaceDE w:val="0"/>
        <w:autoSpaceDN w:val="0"/>
        <w:adjustRightInd w:val="0"/>
        <w:jc w:val="center"/>
        <w:rPr>
          <w:rFonts w:hint="eastAsia" w:ascii="宋体" w:hAnsi="宋体" w:cs="宋体"/>
          <w:b/>
          <w:bCs/>
          <w:color w:val="000000"/>
          <w:sz w:val="28"/>
          <w:szCs w:val="28"/>
          <w:lang w:val="zh-CN"/>
        </w:rPr>
      </w:pPr>
    </w:p>
    <w:p w14:paraId="63CAD182">
      <w:pPr>
        <w:autoSpaceDE w:val="0"/>
        <w:autoSpaceDN w:val="0"/>
        <w:adjustRightInd w:val="0"/>
        <w:jc w:val="center"/>
        <w:rPr>
          <w:rFonts w:hint="eastAsia" w:ascii="宋体" w:hAnsi="宋体" w:cs="宋体"/>
          <w:b/>
          <w:bCs/>
          <w:color w:val="000000"/>
          <w:sz w:val="28"/>
          <w:szCs w:val="28"/>
          <w:lang w:val="zh-CN"/>
        </w:rPr>
      </w:pPr>
    </w:p>
    <w:p w14:paraId="76D46607">
      <w:pPr>
        <w:autoSpaceDE w:val="0"/>
        <w:autoSpaceDN w:val="0"/>
        <w:adjustRightInd w:val="0"/>
        <w:jc w:val="center"/>
        <w:rPr>
          <w:rFonts w:hint="eastAsia" w:ascii="宋体" w:hAnsi="宋体" w:cs="宋体"/>
          <w:b/>
          <w:bCs/>
          <w:color w:val="000000"/>
          <w:sz w:val="28"/>
          <w:szCs w:val="28"/>
          <w:lang w:val="zh-CN"/>
        </w:rPr>
      </w:pPr>
    </w:p>
    <w:p w14:paraId="4D5B19C5">
      <w:pPr>
        <w:autoSpaceDE w:val="0"/>
        <w:autoSpaceDN w:val="0"/>
        <w:adjustRightInd w:val="0"/>
        <w:jc w:val="center"/>
        <w:rPr>
          <w:rFonts w:hint="eastAsia" w:ascii="宋体" w:hAnsi="宋体" w:cs="宋体"/>
          <w:b/>
          <w:bCs/>
          <w:color w:val="000000"/>
          <w:sz w:val="28"/>
          <w:szCs w:val="28"/>
          <w:lang w:val="zh-CN"/>
        </w:rPr>
      </w:pPr>
    </w:p>
    <w:p w14:paraId="3AF884E4">
      <w:pPr>
        <w:autoSpaceDE w:val="0"/>
        <w:autoSpaceDN w:val="0"/>
        <w:adjustRightInd w:val="0"/>
        <w:jc w:val="center"/>
        <w:rPr>
          <w:rFonts w:hint="eastAsia" w:ascii="宋体" w:hAnsi="宋体" w:cs="宋体"/>
          <w:b/>
          <w:bCs/>
          <w:color w:val="000000"/>
          <w:sz w:val="28"/>
          <w:szCs w:val="28"/>
          <w:lang w:val="zh-CN"/>
        </w:rPr>
      </w:pPr>
    </w:p>
    <w:p w14:paraId="6B0EEF00">
      <w:pPr>
        <w:autoSpaceDE w:val="0"/>
        <w:autoSpaceDN w:val="0"/>
        <w:adjustRightInd w:val="0"/>
        <w:jc w:val="center"/>
        <w:rPr>
          <w:rFonts w:hint="eastAsia" w:ascii="宋体" w:hAnsi="宋体" w:cs="宋体"/>
          <w:b/>
          <w:bCs/>
          <w:color w:val="000000"/>
          <w:sz w:val="28"/>
          <w:szCs w:val="28"/>
          <w:lang w:val="zh-CN"/>
        </w:rPr>
      </w:pPr>
    </w:p>
    <w:p w14:paraId="36F3BA7A">
      <w:pPr>
        <w:pStyle w:val="3"/>
        <w:rPr>
          <w:lang w:val="zh-CN"/>
        </w:rPr>
      </w:pPr>
    </w:p>
    <w:p w14:paraId="3F45AE51">
      <w:pPr>
        <w:rPr>
          <w:lang w:val="zh-CN"/>
        </w:rPr>
      </w:pPr>
    </w:p>
    <w:p w14:paraId="6F3D24A7">
      <w:pPr>
        <w:autoSpaceDE w:val="0"/>
        <w:autoSpaceDN w:val="0"/>
        <w:adjustRightInd w:val="0"/>
        <w:jc w:val="center"/>
        <w:rPr>
          <w:rFonts w:hint="eastAsia" w:ascii="宋体" w:hAnsi="宋体" w:cs="宋体"/>
          <w:b/>
          <w:bCs/>
          <w:color w:val="000000"/>
          <w:sz w:val="28"/>
          <w:szCs w:val="28"/>
          <w:lang w:val="zh-CN"/>
        </w:rPr>
      </w:pPr>
    </w:p>
    <w:p w14:paraId="17B40299">
      <w:pPr>
        <w:spacing w:before="169" w:line="224" w:lineRule="auto"/>
        <w:jc w:val="center"/>
        <w:outlineLvl w:val="2"/>
        <w:rPr>
          <w:rFonts w:hint="eastAsia" w:ascii="宋体" w:hAnsi="宋体" w:cs="宋体"/>
          <w:sz w:val="28"/>
          <w:szCs w:val="28"/>
        </w:rPr>
      </w:pPr>
      <w:r>
        <w:rPr>
          <w:rFonts w:ascii="宋体" w:hAnsi="宋体" w:cs="宋体"/>
          <w:spacing w:val="-1"/>
          <w:sz w:val="28"/>
          <w:szCs w:val="28"/>
          <w14:textOutline w14:w="5105" w14:cap="sq" w14:cmpd="sng" w14:algn="ctr">
            <w14:solidFill>
              <w14:srgbClr w14:val="000000"/>
            </w14:solidFill>
            <w14:prstDash w14:val="solid"/>
            <w14:bevel/>
          </w14:textOutline>
        </w:rPr>
        <w:t>六、税收缴</w:t>
      </w:r>
      <w:r>
        <w:rPr>
          <w:rFonts w:ascii="宋体" w:hAnsi="宋体" w:cs="宋体"/>
          <w:sz w:val="28"/>
          <w:szCs w:val="28"/>
          <w14:textOutline w14:w="5105" w14:cap="sq" w14:cmpd="sng" w14:algn="ctr">
            <w14:solidFill>
              <w14:srgbClr w14:val="000000"/>
            </w14:solidFill>
            <w14:prstDash w14:val="solid"/>
            <w14:bevel/>
          </w14:textOutline>
        </w:rPr>
        <w:t>纳证明</w:t>
      </w:r>
    </w:p>
    <w:p w14:paraId="6FD458A8">
      <w:pPr>
        <w:spacing w:line="292" w:lineRule="auto"/>
        <w:rPr>
          <w:rFonts w:ascii="Arial"/>
        </w:rPr>
      </w:pPr>
    </w:p>
    <w:p w14:paraId="405A2443">
      <w:pPr>
        <w:rPr>
          <w:rFonts w:hint="eastAsia" w:ascii="宋体" w:hAnsi="宋体" w:cs="宋体"/>
          <w:sz w:val="24"/>
          <w:szCs w:val="24"/>
        </w:rPr>
      </w:pPr>
      <w:r>
        <w:rPr>
          <w:rFonts w:hint="eastAsia" w:ascii="宋体" w:hAnsi="宋体" w:cs="宋体"/>
          <w:sz w:val="24"/>
          <w:szCs w:val="24"/>
        </w:rPr>
        <w:t>说明：</w:t>
      </w:r>
    </w:p>
    <w:p w14:paraId="5D2DE24C">
      <w:pPr>
        <w:rPr>
          <w:rFonts w:hint="eastAsia" w:ascii="宋体" w:hAnsi="宋体" w:cs="宋体"/>
          <w:sz w:val="24"/>
          <w:szCs w:val="24"/>
        </w:rPr>
      </w:pPr>
      <w:r>
        <w:rPr>
          <w:rFonts w:hint="eastAsia" w:ascii="宋体" w:hAnsi="宋体" w:cs="宋体"/>
          <w:sz w:val="24"/>
          <w:szCs w:val="24"/>
        </w:rPr>
        <w:t>依法缴纳税收的良好记录，提供投标截止日前，一年内任一月份的缴税凭据或完税证明等；依法免税的，应提供相应文件证明其依法免税</w:t>
      </w:r>
      <w:r>
        <w:rPr>
          <w:rFonts w:hint="eastAsia" w:ascii="宋体" w:hAnsi="宋体" w:cs="宋体"/>
          <w:b/>
          <w:bCs/>
          <w:sz w:val="24"/>
          <w:szCs w:val="24"/>
        </w:rPr>
        <w:t>（投标文件内附复印件并加盖公章）</w:t>
      </w:r>
      <w:r>
        <w:rPr>
          <w:rFonts w:hint="eastAsia" w:ascii="宋体" w:hAnsi="宋体" w:cs="宋体"/>
          <w:sz w:val="24"/>
          <w:szCs w:val="24"/>
        </w:rPr>
        <w:t>。</w:t>
      </w:r>
    </w:p>
    <w:p w14:paraId="444F7425">
      <w:pPr>
        <w:autoSpaceDE w:val="0"/>
        <w:autoSpaceDN w:val="0"/>
        <w:adjustRightInd w:val="0"/>
        <w:jc w:val="center"/>
        <w:rPr>
          <w:rFonts w:hint="eastAsia" w:ascii="宋体" w:hAnsi="宋体" w:cs="宋体"/>
          <w:b/>
          <w:bCs/>
          <w:color w:val="000000"/>
          <w:sz w:val="28"/>
          <w:szCs w:val="28"/>
          <w:lang w:val="zh-CN"/>
        </w:rPr>
      </w:pPr>
    </w:p>
    <w:p w14:paraId="372796EB">
      <w:pPr>
        <w:autoSpaceDE w:val="0"/>
        <w:autoSpaceDN w:val="0"/>
        <w:adjustRightInd w:val="0"/>
        <w:jc w:val="center"/>
        <w:rPr>
          <w:rFonts w:hint="eastAsia" w:ascii="宋体" w:hAnsi="宋体" w:cs="宋体"/>
          <w:b/>
          <w:bCs/>
          <w:color w:val="000000"/>
          <w:sz w:val="28"/>
          <w:szCs w:val="28"/>
          <w:lang w:val="zh-CN"/>
        </w:rPr>
      </w:pPr>
    </w:p>
    <w:p w14:paraId="04D5894B">
      <w:pPr>
        <w:autoSpaceDE w:val="0"/>
        <w:autoSpaceDN w:val="0"/>
        <w:adjustRightInd w:val="0"/>
        <w:jc w:val="center"/>
        <w:rPr>
          <w:rFonts w:hint="eastAsia" w:ascii="宋体" w:hAnsi="宋体" w:cs="宋体"/>
          <w:b/>
          <w:bCs/>
          <w:color w:val="000000"/>
          <w:sz w:val="28"/>
          <w:szCs w:val="28"/>
          <w:lang w:val="zh-CN"/>
        </w:rPr>
      </w:pPr>
    </w:p>
    <w:p w14:paraId="0F00C682">
      <w:pPr>
        <w:autoSpaceDE w:val="0"/>
        <w:autoSpaceDN w:val="0"/>
        <w:adjustRightInd w:val="0"/>
        <w:jc w:val="center"/>
        <w:rPr>
          <w:rFonts w:hint="eastAsia" w:ascii="宋体" w:hAnsi="宋体" w:cs="宋体"/>
          <w:b/>
          <w:bCs/>
          <w:color w:val="000000"/>
          <w:sz w:val="28"/>
          <w:szCs w:val="28"/>
          <w:lang w:val="zh-CN"/>
        </w:rPr>
      </w:pPr>
    </w:p>
    <w:p w14:paraId="2BCC2EE9">
      <w:pPr>
        <w:autoSpaceDE w:val="0"/>
        <w:autoSpaceDN w:val="0"/>
        <w:adjustRightInd w:val="0"/>
        <w:jc w:val="center"/>
        <w:rPr>
          <w:rFonts w:hint="eastAsia" w:ascii="宋体" w:hAnsi="宋体" w:cs="宋体"/>
          <w:b/>
          <w:bCs/>
          <w:color w:val="000000"/>
          <w:sz w:val="28"/>
          <w:szCs w:val="28"/>
          <w:lang w:val="zh-CN"/>
        </w:rPr>
      </w:pPr>
    </w:p>
    <w:p w14:paraId="533077A3">
      <w:pPr>
        <w:autoSpaceDE w:val="0"/>
        <w:autoSpaceDN w:val="0"/>
        <w:adjustRightInd w:val="0"/>
        <w:jc w:val="center"/>
        <w:rPr>
          <w:rFonts w:hint="eastAsia" w:ascii="宋体" w:hAnsi="宋体" w:cs="宋体"/>
          <w:b/>
          <w:bCs/>
          <w:color w:val="000000"/>
          <w:sz w:val="28"/>
          <w:szCs w:val="28"/>
          <w:lang w:val="zh-CN"/>
        </w:rPr>
      </w:pPr>
    </w:p>
    <w:p w14:paraId="056A7DA3">
      <w:pPr>
        <w:autoSpaceDE w:val="0"/>
        <w:autoSpaceDN w:val="0"/>
        <w:adjustRightInd w:val="0"/>
        <w:jc w:val="center"/>
        <w:rPr>
          <w:rFonts w:hint="eastAsia" w:ascii="宋体" w:hAnsi="宋体" w:cs="宋体"/>
          <w:b/>
          <w:bCs/>
          <w:color w:val="000000"/>
          <w:sz w:val="28"/>
          <w:szCs w:val="28"/>
          <w:lang w:val="zh-CN"/>
        </w:rPr>
      </w:pPr>
    </w:p>
    <w:p w14:paraId="61628C63">
      <w:pPr>
        <w:autoSpaceDE w:val="0"/>
        <w:autoSpaceDN w:val="0"/>
        <w:adjustRightInd w:val="0"/>
        <w:jc w:val="center"/>
        <w:rPr>
          <w:rFonts w:hint="eastAsia" w:ascii="宋体" w:hAnsi="宋体" w:cs="宋体"/>
          <w:b/>
          <w:bCs/>
          <w:color w:val="000000"/>
          <w:sz w:val="28"/>
          <w:szCs w:val="28"/>
          <w:lang w:val="zh-CN"/>
        </w:rPr>
      </w:pPr>
    </w:p>
    <w:p w14:paraId="1CB09852">
      <w:pPr>
        <w:autoSpaceDE w:val="0"/>
        <w:autoSpaceDN w:val="0"/>
        <w:adjustRightInd w:val="0"/>
        <w:jc w:val="center"/>
        <w:rPr>
          <w:rFonts w:hint="eastAsia" w:ascii="宋体" w:hAnsi="宋体" w:cs="宋体"/>
          <w:b/>
          <w:bCs/>
          <w:color w:val="000000"/>
          <w:sz w:val="28"/>
          <w:szCs w:val="28"/>
          <w:lang w:val="zh-CN"/>
        </w:rPr>
      </w:pPr>
    </w:p>
    <w:p w14:paraId="3DD039E9">
      <w:pPr>
        <w:autoSpaceDE w:val="0"/>
        <w:autoSpaceDN w:val="0"/>
        <w:adjustRightInd w:val="0"/>
        <w:jc w:val="center"/>
        <w:rPr>
          <w:rFonts w:hint="eastAsia" w:ascii="宋体" w:hAnsi="宋体" w:cs="宋体"/>
          <w:b/>
          <w:bCs/>
          <w:color w:val="000000"/>
          <w:sz w:val="28"/>
          <w:szCs w:val="28"/>
          <w:lang w:val="zh-CN"/>
        </w:rPr>
      </w:pPr>
    </w:p>
    <w:p w14:paraId="784A7B5B">
      <w:pPr>
        <w:autoSpaceDE w:val="0"/>
        <w:autoSpaceDN w:val="0"/>
        <w:adjustRightInd w:val="0"/>
        <w:jc w:val="center"/>
        <w:rPr>
          <w:rFonts w:hint="eastAsia" w:ascii="宋体" w:hAnsi="宋体" w:cs="宋体"/>
          <w:b/>
          <w:bCs/>
          <w:color w:val="000000"/>
          <w:sz w:val="28"/>
          <w:szCs w:val="28"/>
          <w:lang w:val="zh-CN"/>
        </w:rPr>
      </w:pPr>
    </w:p>
    <w:p w14:paraId="5C6B387C">
      <w:pPr>
        <w:autoSpaceDE w:val="0"/>
        <w:autoSpaceDN w:val="0"/>
        <w:adjustRightInd w:val="0"/>
        <w:jc w:val="center"/>
        <w:rPr>
          <w:rFonts w:hint="eastAsia" w:ascii="宋体" w:hAnsi="宋体" w:cs="宋体"/>
          <w:b/>
          <w:bCs/>
          <w:color w:val="000000"/>
          <w:sz w:val="28"/>
          <w:szCs w:val="28"/>
          <w:lang w:val="zh-CN"/>
        </w:rPr>
      </w:pPr>
    </w:p>
    <w:p w14:paraId="1862D294">
      <w:pPr>
        <w:autoSpaceDE w:val="0"/>
        <w:autoSpaceDN w:val="0"/>
        <w:adjustRightInd w:val="0"/>
        <w:jc w:val="center"/>
        <w:rPr>
          <w:rFonts w:hint="eastAsia" w:ascii="宋体" w:hAnsi="宋体" w:cs="宋体"/>
          <w:b/>
          <w:bCs/>
          <w:color w:val="000000"/>
          <w:sz w:val="28"/>
          <w:szCs w:val="28"/>
          <w:lang w:val="zh-CN"/>
        </w:rPr>
      </w:pPr>
    </w:p>
    <w:p w14:paraId="22352FF7">
      <w:pPr>
        <w:autoSpaceDE w:val="0"/>
        <w:autoSpaceDN w:val="0"/>
        <w:adjustRightInd w:val="0"/>
        <w:jc w:val="center"/>
        <w:rPr>
          <w:rFonts w:hint="eastAsia" w:ascii="宋体" w:hAnsi="宋体" w:cs="宋体"/>
          <w:b/>
          <w:bCs/>
          <w:color w:val="000000"/>
          <w:sz w:val="28"/>
          <w:szCs w:val="28"/>
          <w:lang w:val="zh-CN"/>
        </w:rPr>
      </w:pPr>
    </w:p>
    <w:p w14:paraId="6D7DD30C">
      <w:pPr>
        <w:autoSpaceDE w:val="0"/>
        <w:autoSpaceDN w:val="0"/>
        <w:adjustRightInd w:val="0"/>
        <w:jc w:val="center"/>
        <w:rPr>
          <w:rFonts w:hint="eastAsia" w:ascii="宋体" w:hAnsi="宋体" w:cs="宋体"/>
          <w:b/>
          <w:bCs/>
          <w:color w:val="000000"/>
          <w:sz w:val="28"/>
          <w:szCs w:val="28"/>
          <w:lang w:val="zh-CN"/>
        </w:rPr>
      </w:pPr>
    </w:p>
    <w:p w14:paraId="0F1655AB">
      <w:pPr>
        <w:autoSpaceDE w:val="0"/>
        <w:autoSpaceDN w:val="0"/>
        <w:adjustRightInd w:val="0"/>
        <w:jc w:val="center"/>
        <w:rPr>
          <w:rFonts w:hint="eastAsia" w:ascii="宋体" w:hAnsi="宋体" w:cs="宋体"/>
          <w:b/>
          <w:bCs/>
          <w:color w:val="000000"/>
          <w:sz w:val="28"/>
          <w:szCs w:val="28"/>
          <w:lang w:val="zh-CN"/>
        </w:rPr>
      </w:pPr>
    </w:p>
    <w:p w14:paraId="66E14095">
      <w:pPr>
        <w:autoSpaceDE w:val="0"/>
        <w:autoSpaceDN w:val="0"/>
        <w:adjustRightInd w:val="0"/>
        <w:jc w:val="center"/>
        <w:rPr>
          <w:rFonts w:hint="eastAsia" w:ascii="宋体" w:hAnsi="宋体" w:cs="宋体"/>
          <w:b/>
          <w:bCs/>
          <w:color w:val="000000"/>
          <w:sz w:val="28"/>
          <w:szCs w:val="28"/>
          <w:lang w:val="zh-CN"/>
        </w:rPr>
      </w:pPr>
    </w:p>
    <w:p w14:paraId="6A778E8F">
      <w:pPr>
        <w:autoSpaceDE w:val="0"/>
        <w:autoSpaceDN w:val="0"/>
        <w:adjustRightInd w:val="0"/>
        <w:jc w:val="center"/>
        <w:rPr>
          <w:rFonts w:hint="eastAsia" w:ascii="宋体" w:hAnsi="宋体" w:cs="宋体"/>
          <w:b/>
          <w:bCs/>
          <w:color w:val="000000"/>
          <w:sz w:val="28"/>
          <w:szCs w:val="28"/>
          <w:lang w:val="zh-CN"/>
        </w:rPr>
      </w:pPr>
    </w:p>
    <w:p w14:paraId="07A4FC83">
      <w:pPr>
        <w:autoSpaceDE w:val="0"/>
        <w:autoSpaceDN w:val="0"/>
        <w:adjustRightInd w:val="0"/>
        <w:jc w:val="center"/>
        <w:rPr>
          <w:rFonts w:hint="eastAsia" w:ascii="宋体" w:hAnsi="宋体" w:cs="宋体"/>
          <w:b/>
          <w:bCs/>
          <w:color w:val="000000"/>
          <w:sz w:val="28"/>
          <w:szCs w:val="28"/>
          <w:lang w:val="zh-CN"/>
        </w:rPr>
      </w:pPr>
    </w:p>
    <w:p w14:paraId="5F77EB08">
      <w:pPr>
        <w:pStyle w:val="7"/>
        <w:rPr>
          <w:rFonts w:hint="eastAsia" w:ascii="宋体" w:hAnsi="宋体" w:cs="宋体"/>
          <w:b/>
          <w:bCs/>
          <w:color w:val="000000"/>
          <w:sz w:val="28"/>
          <w:szCs w:val="28"/>
          <w:lang w:val="zh-CN"/>
        </w:rPr>
      </w:pPr>
    </w:p>
    <w:p w14:paraId="168069A6">
      <w:pPr>
        <w:pStyle w:val="8"/>
        <w:ind w:left="5250"/>
        <w:rPr>
          <w:rFonts w:hint="eastAsia" w:ascii="宋体" w:hAnsi="宋体" w:cs="宋体"/>
          <w:b/>
          <w:bCs/>
          <w:color w:val="000000"/>
          <w:sz w:val="28"/>
          <w:szCs w:val="28"/>
          <w:lang w:val="zh-CN"/>
        </w:rPr>
      </w:pPr>
    </w:p>
    <w:p w14:paraId="5761D3AE">
      <w:pPr>
        <w:rPr>
          <w:lang w:val="zh-CN"/>
        </w:rPr>
      </w:pPr>
    </w:p>
    <w:p w14:paraId="5F0293E6">
      <w:pPr>
        <w:spacing w:before="168" w:line="232" w:lineRule="auto"/>
        <w:jc w:val="center"/>
        <w:outlineLvl w:val="2"/>
        <w:rPr>
          <w:rFonts w:hint="eastAsia" w:ascii="宋体" w:hAnsi="宋体" w:cs="宋体"/>
          <w:sz w:val="28"/>
          <w:szCs w:val="28"/>
        </w:rPr>
      </w:pPr>
      <w:r>
        <w:rPr>
          <w:rFonts w:ascii="宋体" w:hAnsi="宋体" w:cs="宋体"/>
          <w:spacing w:val="1"/>
          <w:sz w:val="28"/>
          <w:szCs w:val="28"/>
          <w14:textOutline w14:w="5105" w14:cap="sq" w14:cmpd="sng" w14:algn="ctr">
            <w14:solidFill>
              <w14:srgbClr w14:val="000000"/>
            </w14:solidFill>
            <w14:prstDash w14:val="solid"/>
            <w14:bevel/>
          </w14:textOutline>
        </w:rPr>
        <w:t>七、</w:t>
      </w:r>
      <w:r>
        <w:rPr>
          <w:rFonts w:ascii="宋体" w:hAnsi="宋体" w:cs="宋体"/>
          <w:sz w:val="28"/>
          <w:szCs w:val="28"/>
          <w14:textOutline w14:w="5105" w14:cap="sq" w14:cmpd="sng" w14:algn="ctr">
            <w14:solidFill>
              <w14:srgbClr w14:val="000000"/>
            </w14:solidFill>
            <w14:prstDash w14:val="solid"/>
            <w14:bevel/>
          </w14:textOutline>
        </w:rPr>
        <w:t>缴纳社会保障资金证明</w:t>
      </w:r>
    </w:p>
    <w:p w14:paraId="00F0C8A8">
      <w:pPr>
        <w:rPr>
          <w:rFonts w:hint="eastAsia" w:ascii="宋体" w:hAnsi="宋体" w:cs="宋体"/>
          <w:sz w:val="24"/>
          <w:szCs w:val="24"/>
        </w:rPr>
      </w:pPr>
    </w:p>
    <w:p w14:paraId="304E904D">
      <w:pPr>
        <w:rPr>
          <w:rFonts w:hint="eastAsia" w:ascii="宋体" w:hAnsi="宋体" w:cs="宋体"/>
          <w:sz w:val="24"/>
          <w:szCs w:val="24"/>
        </w:rPr>
      </w:pPr>
      <w:r>
        <w:rPr>
          <w:rFonts w:hint="eastAsia" w:ascii="宋体" w:hAnsi="宋体" w:cs="宋体"/>
          <w:sz w:val="24"/>
          <w:szCs w:val="24"/>
        </w:rPr>
        <w:t>说明：</w:t>
      </w:r>
    </w:p>
    <w:p w14:paraId="5102A773">
      <w:r>
        <w:rPr>
          <w:rFonts w:hint="eastAsia" w:ascii="宋体" w:hAnsi="宋体" w:cs="宋体"/>
          <w:sz w:val="24"/>
          <w:szCs w:val="24"/>
        </w:rPr>
        <w:t>依法缴纳社会保障资金的良好记录，提供投标截止日前，一年内任一月份缴纳社会保险的凭据；依法不需要缴纳社会保险的，应提供相应文件证明其依法不需要缴纳社会保险。</w:t>
      </w:r>
      <w:r>
        <w:rPr>
          <w:rFonts w:hint="eastAsia" w:ascii="宋体" w:hAnsi="宋体" w:cs="宋体"/>
          <w:b/>
          <w:bCs/>
          <w:sz w:val="24"/>
          <w:szCs w:val="24"/>
        </w:rPr>
        <w:t>（投标文件内附复印件并加盖公章）</w:t>
      </w:r>
    </w:p>
    <w:p w14:paraId="6DDEC512">
      <w:pPr>
        <w:rPr>
          <w:rFonts w:hint="eastAsia" w:ascii="宋体" w:hAnsi="宋体" w:cs="宋体"/>
          <w:sz w:val="24"/>
          <w:szCs w:val="24"/>
        </w:rPr>
      </w:pPr>
    </w:p>
    <w:p w14:paraId="163B476A">
      <w:pPr>
        <w:pStyle w:val="3"/>
        <w:rPr>
          <w:rFonts w:hint="eastAsia" w:ascii="宋体" w:hAnsi="宋体" w:eastAsia="宋体" w:cs="宋体"/>
          <w:sz w:val="24"/>
          <w:szCs w:val="24"/>
        </w:rPr>
      </w:pPr>
    </w:p>
    <w:p w14:paraId="7B2F7B5B">
      <w:pPr>
        <w:rPr>
          <w:rFonts w:hint="eastAsia" w:ascii="宋体" w:hAnsi="宋体" w:cs="宋体"/>
          <w:sz w:val="24"/>
          <w:szCs w:val="24"/>
        </w:rPr>
      </w:pPr>
    </w:p>
    <w:p w14:paraId="679C47B2">
      <w:pPr>
        <w:pStyle w:val="3"/>
        <w:rPr>
          <w:rFonts w:hint="eastAsia" w:ascii="宋体" w:hAnsi="宋体" w:eastAsia="宋体" w:cs="宋体"/>
          <w:sz w:val="24"/>
          <w:szCs w:val="24"/>
        </w:rPr>
      </w:pPr>
    </w:p>
    <w:p w14:paraId="71775865">
      <w:pPr>
        <w:rPr>
          <w:rFonts w:hint="eastAsia" w:ascii="宋体" w:hAnsi="宋体" w:cs="宋体"/>
          <w:sz w:val="24"/>
          <w:szCs w:val="24"/>
        </w:rPr>
      </w:pPr>
    </w:p>
    <w:p w14:paraId="0A8707A4">
      <w:pPr>
        <w:pStyle w:val="3"/>
        <w:rPr>
          <w:rFonts w:hint="eastAsia" w:ascii="宋体" w:hAnsi="宋体" w:eastAsia="宋体" w:cs="宋体"/>
          <w:sz w:val="24"/>
          <w:szCs w:val="24"/>
        </w:rPr>
      </w:pPr>
    </w:p>
    <w:p w14:paraId="793CD63F">
      <w:pPr>
        <w:rPr>
          <w:rFonts w:hint="eastAsia" w:ascii="宋体" w:hAnsi="宋体" w:cs="宋体"/>
          <w:sz w:val="24"/>
          <w:szCs w:val="24"/>
        </w:rPr>
      </w:pPr>
    </w:p>
    <w:p w14:paraId="2DF42D84">
      <w:pPr>
        <w:pStyle w:val="3"/>
        <w:rPr>
          <w:rFonts w:hint="eastAsia" w:ascii="宋体" w:hAnsi="宋体" w:eastAsia="宋体" w:cs="宋体"/>
          <w:sz w:val="24"/>
          <w:szCs w:val="24"/>
        </w:rPr>
      </w:pPr>
    </w:p>
    <w:p w14:paraId="0B82F9E6">
      <w:pPr>
        <w:rPr>
          <w:rFonts w:hint="eastAsia" w:ascii="宋体" w:hAnsi="宋体" w:cs="宋体"/>
          <w:sz w:val="24"/>
          <w:szCs w:val="24"/>
        </w:rPr>
      </w:pPr>
    </w:p>
    <w:p w14:paraId="3AB990F8">
      <w:pPr>
        <w:autoSpaceDE w:val="0"/>
        <w:autoSpaceDN w:val="0"/>
        <w:adjustRightInd w:val="0"/>
        <w:jc w:val="center"/>
        <w:rPr>
          <w:rFonts w:hint="eastAsia" w:ascii="宋体" w:hAnsi="宋体" w:cs="宋体"/>
          <w:b/>
          <w:bCs/>
          <w:color w:val="000000"/>
          <w:sz w:val="28"/>
          <w:szCs w:val="28"/>
        </w:rPr>
      </w:pPr>
    </w:p>
    <w:p w14:paraId="7BFB5E92">
      <w:pPr>
        <w:autoSpaceDE w:val="0"/>
        <w:autoSpaceDN w:val="0"/>
        <w:adjustRightInd w:val="0"/>
        <w:jc w:val="center"/>
        <w:rPr>
          <w:rFonts w:hint="eastAsia" w:ascii="宋体" w:hAnsi="宋体" w:cs="宋体"/>
          <w:b/>
          <w:bCs/>
          <w:color w:val="000000"/>
          <w:sz w:val="28"/>
          <w:szCs w:val="28"/>
        </w:rPr>
      </w:pPr>
    </w:p>
    <w:p w14:paraId="7567F721"/>
    <w:p w14:paraId="3080A300">
      <w:pPr>
        <w:spacing w:before="101" w:line="227" w:lineRule="auto"/>
        <w:outlineLvl w:val="1"/>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51FA1423">
      <w:pPr>
        <w:spacing w:before="101" w:line="227" w:lineRule="auto"/>
        <w:outlineLvl w:val="1"/>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01E35417">
      <w:pPr>
        <w:spacing w:before="168" w:line="232" w:lineRule="auto"/>
        <w:jc w:val="center"/>
        <w:outlineLvl w:val="2"/>
        <w:rPr>
          <w:rFonts w:hint="eastAsia" w:ascii="宋体" w:hAnsi="宋体" w:cs="宋体"/>
          <w:b/>
          <w:bCs/>
          <w:sz w:val="28"/>
          <w:szCs w:val="28"/>
        </w:rPr>
      </w:pPr>
      <w:r>
        <w:rPr>
          <w:rFonts w:hint="eastAsia" w:ascii="宋体" w:hAnsi="宋体" w:cs="宋体"/>
          <w:b/>
          <w:bCs/>
          <w:spacing w:val="1"/>
          <w:sz w:val="28"/>
          <w:szCs w:val="28"/>
        </w:rPr>
        <w:t>八</w:t>
      </w:r>
      <w:r>
        <w:rPr>
          <w:rFonts w:ascii="宋体" w:hAnsi="宋体" w:cs="宋体"/>
          <w:b/>
          <w:bCs/>
          <w:spacing w:val="1"/>
          <w:sz w:val="28"/>
          <w:szCs w:val="28"/>
        </w:rPr>
        <w:t>、</w:t>
      </w:r>
      <w:r>
        <w:rPr>
          <w:rFonts w:hint="eastAsia" w:ascii="宋体" w:hAnsi="宋体" w:cs="宋体"/>
          <w:b/>
          <w:bCs/>
          <w:spacing w:val="1"/>
          <w:sz w:val="28"/>
          <w:szCs w:val="28"/>
          <w:lang w:val="zh-CN"/>
        </w:rPr>
        <w:t>良好信用记录</w:t>
      </w:r>
    </w:p>
    <w:p w14:paraId="091DB3E0">
      <w:pPr>
        <w:rPr>
          <w:rFonts w:hint="eastAsia" w:ascii="宋体" w:hAnsi="宋体" w:cs="宋体"/>
          <w:sz w:val="24"/>
          <w:szCs w:val="24"/>
        </w:rPr>
      </w:pPr>
    </w:p>
    <w:p w14:paraId="538A50B9">
      <w:pPr>
        <w:rPr>
          <w:rFonts w:hint="eastAsia" w:ascii="宋体" w:hAnsi="宋体" w:cs="宋体"/>
          <w:sz w:val="24"/>
          <w:szCs w:val="24"/>
        </w:rPr>
      </w:pPr>
      <w:r>
        <w:rPr>
          <w:rFonts w:hint="eastAsia" w:ascii="宋体" w:hAnsi="宋体" w:cs="宋体"/>
          <w:sz w:val="24"/>
          <w:szCs w:val="24"/>
        </w:rPr>
        <w:t>说明：</w:t>
      </w:r>
    </w:p>
    <w:p w14:paraId="7C47AA74">
      <w:pPr>
        <w:spacing w:before="101" w:line="227" w:lineRule="auto"/>
        <w:jc w:val="left"/>
        <w:outlineLvl w:val="1"/>
        <w:rPr>
          <w:rFonts w:hint="eastAsia" w:ascii="黑体" w:hAnsi="黑体" w:eastAsia="黑体" w:cs="黑体"/>
          <w:spacing w:val="12"/>
          <w:sz w:val="31"/>
          <w:szCs w:val="31"/>
        </w:rPr>
      </w:pPr>
      <w:r>
        <w:rPr>
          <w:rFonts w:hint="eastAsia" w:ascii="宋体" w:hAnsi="宋体" w:cs="宋体"/>
          <w:bCs/>
          <w:sz w:val="24"/>
          <w:szCs w:val="24"/>
          <w:lang w:val="zh-CN"/>
        </w:rPr>
        <w:t>提供</w:t>
      </w:r>
      <w:r>
        <w:rPr>
          <w:rFonts w:hint="eastAsia" w:ascii="宋体" w:hAnsi="宋体" w:cs="宋体"/>
          <w:bCs/>
          <w:sz w:val="24"/>
          <w:szCs w:val="24"/>
        </w:rPr>
        <w:t>“</w:t>
      </w:r>
      <w:r>
        <w:rPr>
          <w:rFonts w:hint="eastAsia" w:ascii="宋体" w:hAnsi="宋体" w:cs="宋体"/>
          <w:bCs/>
          <w:sz w:val="24"/>
          <w:szCs w:val="24"/>
          <w:lang w:val="zh-CN"/>
        </w:rPr>
        <w:t>信用中国</w:t>
      </w:r>
      <w:r>
        <w:rPr>
          <w:rFonts w:hint="eastAsia" w:ascii="宋体" w:hAnsi="宋体" w:cs="宋体"/>
          <w:bCs/>
          <w:sz w:val="24"/>
          <w:szCs w:val="24"/>
        </w:rPr>
        <w:t>”</w:t>
      </w:r>
      <w:r>
        <w:rPr>
          <w:rFonts w:hint="eastAsia" w:ascii="宋体" w:hAnsi="宋体" w:cs="宋体"/>
          <w:bCs/>
          <w:sz w:val="24"/>
          <w:szCs w:val="24"/>
          <w:lang w:val="zh-CN"/>
        </w:rPr>
        <w:t>网站</w:t>
      </w:r>
      <w:r>
        <w:rPr>
          <w:rFonts w:hint="eastAsia" w:ascii="宋体" w:hAnsi="宋体" w:cs="宋体"/>
          <w:bCs/>
          <w:sz w:val="24"/>
          <w:szCs w:val="24"/>
        </w:rPr>
        <w:t>（www.creditchina.gov.cn）</w:t>
      </w:r>
      <w:r>
        <w:rPr>
          <w:rFonts w:hint="eastAsia" w:ascii="宋体" w:hAnsi="宋体" w:cs="宋体"/>
          <w:bCs/>
          <w:sz w:val="24"/>
          <w:szCs w:val="24"/>
          <w:lang w:val="zh-CN"/>
        </w:rPr>
        <w:t>、中国政府采购网</w:t>
      </w:r>
      <w:r>
        <w:rPr>
          <w:rFonts w:hint="eastAsia" w:ascii="宋体" w:hAnsi="宋体" w:cs="宋体"/>
          <w:bCs/>
          <w:sz w:val="24"/>
          <w:szCs w:val="24"/>
        </w:rPr>
        <w:t>（www.ccgp.gov.cn）</w:t>
      </w:r>
      <w:r>
        <w:rPr>
          <w:rFonts w:hint="eastAsia" w:ascii="宋体" w:hAnsi="宋体" w:cs="宋体"/>
          <w:bCs/>
          <w:sz w:val="24"/>
          <w:szCs w:val="24"/>
          <w:lang w:val="zh-CN"/>
        </w:rPr>
        <w:t>渠道查询投标人信用记录。经查询，列入失信被执行人、重大税收违法失信主体、政府采购严重违法失信行为记录名单，其投标无效。</w:t>
      </w:r>
      <w:r>
        <w:rPr>
          <w:rFonts w:hint="eastAsia" w:ascii="宋体" w:hAnsi="宋体" w:cs="宋体"/>
          <w:b/>
          <w:sz w:val="24"/>
          <w:szCs w:val="24"/>
          <w:lang w:val="zh-CN"/>
        </w:rPr>
        <w:t>（标书内</w:t>
      </w:r>
      <w:r>
        <w:rPr>
          <w:rFonts w:hint="eastAsia" w:ascii="宋体" w:hAnsi="宋体" w:cs="宋体"/>
          <w:b/>
          <w:sz w:val="24"/>
          <w:szCs w:val="24"/>
        </w:rPr>
        <w:t>附</w:t>
      </w:r>
      <w:r>
        <w:rPr>
          <w:rFonts w:hint="eastAsia" w:ascii="宋体" w:hAnsi="宋体" w:cs="宋体"/>
          <w:b/>
          <w:sz w:val="24"/>
          <w:szCs w:val="24"/>
          <w:lang w:val="zh-CN"/>
        </w:rPr>
        <w:t>网站截图加盖公章）</w:t>
      </w:r>
    </w:p>
    <w:p w14:paraId="64630C37">
      <w:pPr>
        <w:spacing w:before="101" w:line="227" w:lineRule="auto"/>
        <w:outlineLvl w:val="1"/>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46D87F5C">
      <w:pPr>
        <w:spacing w:before="101" w:line="227" w:lineRule="auto"/>
        <w:outlineLvl w:val="1"/>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7A9ABD0B">
      <w:pPr>
        <w:spacing w:before="101" w:line="227" w:lineRule="auto"/>
        <w:outlineLvl w:val="1"/>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1D5339EC">
      <w:pPr>
        <w:spacing w:before="101" w:line="227" w:lineRule="auto"/>
        <w:outlineLvl w:val="1"/>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1CE1CE01">
      <w:pPr>
        <w:spacing w:before="101" w:line="227" w:lineRule="auto"/>
        <w:outlineLvl w:val="1"/>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1DA8C9D7">
      <w:pPr>
        <w:pStyle w:val="20"/>
        <w:ind w:firstLine="668"/>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6F540FE6">
      <w:pPr>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06F2DFBF">
      <w:pPr>
        <w:pStyle w:val="20"/>
        <w:ind w:firstLine="668"/>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2E7E5929">
      <w:pPr>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402F4B44">
      <w:pPr>
        <w:pStyle w:val="20"/>
        <w:ind w:firstLine="668"/>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71675394">
      <w:pPr>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23FE59D7">
      <w:pPr>
        <w:pStyle w:val="20"/>
        <w:ind w:firstLine="668"/>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6FC9575B">
      <w:pPr>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1A293E7D">
      <w:pPr>
        <w:pStyle w:val="20"/>
        <w:ind w:firstLine="668"/>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3B4F01C6">
      <w:pPr>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6103E3E4">
      <w:pPr>
        <w:pStyle w:val="20"/>
        <w:ind w:firstLine="668"/>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6D4A8F4C">
      <w:pPr>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60683EE8">
      <w:pPr>
        <w:pStyle w:val="20"/>
        <w:ind w:firstLine="668"/>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1A42447E">
      <w:pPr>
        <w:rPr>
          <w:rFonts w:hint="eastAsia" w:ascii="黑体" w:hAnsi="黑体" w:eastAsia="黑体" w:cs="黑体"/>
          <w:spacing w:val="12"/>
          <w:sz w:val="31"/>
          <w:szCs w:val="31"/>
          <w14:textOutline w14:w="5791" w14:cap="sq" w14:cmpd="sng" w14:algn="ctr">
            <w14:solidFill>
              <w14:srgbClr w14:val="000000"/>
            </w14:solidFill>
            <w14:prstDash w14:val="solid"/>
            <w14:bevel/>
          </w14:textOutline>
        </w:rPr>
      </w:pPr>
    </w:p>
    <w:p w14:paraId="7B4A5310">
      <w:pPr>
        <w:spacing w:before="168" w:line="232" w:lineRule="auto"/>
        <w:jc w:val="center"/>
        <w:outlineLvl w:val="2"/>
        <w:rPr>
          <w:rFonts w:hint="eastAsia" w:ascii="宋体" w:hAnsi="宋体" w:cs="宋体"/>
          <w:b/>
          <w:bCs/>
          <w:sz w:val="28"/>
          <w:szCs w:val="28"/>
        </w:rPr>
      </w:pPr>
      <w:r>
        <w:rPr>
          <w:rFonts w:hint="eastAsia" w:ascii="宋体" w:hAnsi="宋体" w:cs="宋体"/>
          <w:b/>
          <w:bCs/>
          <w:spacing w:val="1"/>
          <w:sz w:val="28"/>
          <w:szCs w:val="28"/>
        </w:rPr>
        <w:t>九</w:t>
      </w:r>
      <w:r>
        <w:rPr>
          <w:rFonts w:ascii="宋体" w:hAnsi="宋体" w:cs="宋体"/>
          <w:b/>
          <w:bCs/>
          <w:spacing w:val="1"/>
          <w:sz w:val="28"/>
          <w:szCs w:val="28"/>
        </w:rPr>
        <w:t>、</w:t>
      </w:r>
      <w:r>
        <w:rPr>
          <w:rFonts w:hint="eastAsia" w:ascii="宋体" w:hAnsi="宋体" w:cs="宋体"/>
          <w:b/>
          <w:bCs/>
          <w:spacing w:val="1"/>
          <w:sz w:val="28"/>
          <w:szCs w:val="28"/>
          <w:lang w:val="zh-CN"/>
        </w:rPr>
        <w:t>参加政府采购活动前三年内，在经营活动中没有重大违法记录</w:t>
      </w:r>
    </w:p>
    <w:p w14:paraId="6D617CFA">
      <w:pPr>
        <w:rPr>
          <w:rFonts w:hint="eastAsia" w:ascii="宋体" w:hAnsi="宋体" w:cs="宋体"/>
          <w:sz w:val="24"/>
          <w:szCs w:val="24"/>
        </w:rPr>
      </w:pPr>
    </w:p>
    <w:p w14:paraId="50047FE0">
      <w:pPr>
        <w:rPr>
          <w:rFonts w:hint="eastAsia" w:ascii="宋体" w:hAnsi="宋体" w:cs="宋体"/>
          <w:sz w:val="24"/>
          <w:szCs w:val="24"/>
        </w:rPr>
      </w:pPr>
      <w:r>
        <w:rPr>
          <w:rFonts w:hint="eastAsia" w:ascii="宋体" w:hAnsi="宋体" w:cs="宋体"/>
          <w:sz w:val="24"/>
          <w:szCs w:val="24"/>
        </w:rPr>
        <w:t>说明：</w:t>
      </w:r>
    </w:p>
    <w:p w14:paraId="57AA945B">
      <w:pPr>
        <w:spacing w:before="101" w:line="227" w:lineRule="auto"/>
        <w:jc w:val="left"/>
        <w:outlineLvl w:val="1"/>
        <w:rPr>
          <w:rFonts w:hint="eastAsia" w:ascii="黑体" w:hAnsi="黑体" w:eastAsia="黑体" w:cs="黑体"/>
          <w:spacing w:val="12"/>
          <w:sz w:val="31"/>
          <w:szCs w:val="31"/>
        </w:rPr>
      </w:pPr>
      <w:r>
        <w:rPr>
          <w:rFonts w:hint="eastAsia" w:ascii="宋体" w:hAnsi="宋体" w:cs="宋体"/>
          <w:bCs/>
          <w:sz w:val="24"/>
          <w:szCs w:val="24"/>
          <w:lang w:val="zh-CN"/>
        </w:rPr>
        <w:t>提供企业近三年无重大违法记录声明函</w:t>
      </w:r>
      <w:r>
        <w:rPr>
          <w:rFonts w:hint="eastAsia" w:ascii="宋体" w:hAnsi="宋体" w:cs="宋体"/>
          <w:b/>
          <w:sz w:val="24"/>
          <w:szCs w:val="24"/>
          <w:lang w:val="zh-CN"/>
        </w:rPr>
        <w:t>（</w:t>
      </w:r>
      <w:r>
        <w:rPr>
          <w:rFonts w:hint="eastAsia" w:ascii="宋体" w:hAnsi="宋体" w:cs="宋体"/>
          <w:b/>
          <w:sz w:val="24"/>
          <w:szCs w:val="24"/>
        </w:rPr>
        <w:t>格式自拟，</w:t>
      </w:r>
      <w:r>
        <w:rPr>
          <w:rFonts w:hint="eastAsia" w:ascii="宋体" w:hAnsi="宋体" w:cs="宋体"/>
          <w:b/>
          <w:sz w:val="24"/>
          <w:szCs w:val="24"/>
          <w:lang w:val="zh-CN"/>
        </w:rPr>
        <w:t>标书内提供</w:t>
      </w:r>
      <w:r>
        <w:rPr>
          <w:rFonts w:hint="eastAsia" w:ascii="宋体" w:hAnsi="宋体" w:cs="宋体"/>
          <w:b/>
          <w:sz w:val="24"/>
          <w:szCs w:val="24"/>
        </w:rPr>
        <w:t>声明函</w:t>
      </w:r>
      <w:r>
        <w:rPr>
          <w:rFonts w:hint="eastAsia" w:ascii="宋体" w:hAnsi="宋体" w:cs="宋体"/>
          <w:b/>
          <w:sz w:val="24"/>
          <w:szCs w:val="24"/>
          <w:lang w:val="zh-CN"/>
        </w:rPr>
        <w:t>加盖公章）</w:t>
      </w:r>
    </w:p>
    <w:p w14:paraId="460A5B0C">
      <w:pPr>
        <w:pStyle w:val="20"/>
        <w:ind w:firstLine="640"/>
      </w:pPr>
    </w:p>
    <w:p w14:paraId="1653BC18"/>
    <w:p w14:paraId="2563AB4E">
      <w:pPr>
        <w:pStyle w:val="20"/>
        <w:ind w:firstLine="640"/>
      </w:pPr>
    </w:p>
    <w:p w14:paraId="7BAF86DB"/>
    <w:p w14:paraId="17D57041">
      <w:pPr>
        <w:pStyle w:val="20"/>
        <w:ind w:firstLine="640"/>
      </w:pPr>
    </w:p>
    <w:p w14:paraId="72402848"/>
    <w:p w14:paraId="2256349D">
      <w:pPr>
        <w:pStyle w:val="20"/>
        <w:ind w:firstLine="640"/>
      </w:pPr>
    </w:p>
    <w:p w14:paraId="602D3896"/>
    <w:p w14:paraId="41E0AC42">
      <w:pPr>
        <w:pStyle w:val="20"/>
        <w:ind w:firstLine="640"/>
      </w:pPr>
    </w:p>
    <w:p w14:paraId="633D2AAE"/>
    <w:p w14:paraId="3C9B32B9">
      <w:pPr>
        <w:pStyle w:val="20"/>
        <w:ind w:firstLine="640"/>
      </w:pPr>
    </w:p>
    <w:p w14:paraId="28F5B10F"/>
    <w:p w14:paraId="74965BB8">
      <w:pPr>
        <w:pStyle w:val="20"/>
        <w:ind w:firstLine="640"/>
      </w:pPr>
    </w:p>
    <w:p w14:paraId="4749A8CA"/>
    <w:p w14:paraId="6FDD2C77">
      <w:pPr>
        <w:pStyle w:val="20"/>
        <w:ind w:firstLine="640"/>
      </w:pPr>
    </w:p>
    <w:p w14:paraId="12FFBE54"/>
    <w:p w14:paraId="783561F9">
      <w:pPr>
        <w:pStyle w:val="20"/>
        <w:ind w:firstLine="640"/>
      </w:pPr>
    </w:p>
    <w:p w14:paraId="32FC75E9"/>
    <w:p w14:paraId="1A442737">
      <w:pPr>
        <w:pStyle w:val="20"/>
        <w:ind w:firstLine="640"/>
      </w:pPr>
    </w:p>
    <w:p w14:paraId="43A12BF7">
      <w:pPr>
        <w:pStyle w:val="20"/>
        <w:ind w:firstLine="640"/>
      </w:pPr>
    </w:p>
    <w:p w14:paraId="19208B68">
      <w:pPr>
        <w:pStyle w:val="20"/>
        <w:ind w:firstLine="640"/>
      </w:pPr>
    </w:p>
    <w:p w14:paraId="1090E51C">
      <w:pPr>
        <w:numPr>
          <w:ilvl w:val="0"/>
          <w:numId w:val="7"/>
        </w:numPr>
        <w:autoSpaceDE w:val="0"/>
        <w:autoSpaceDN w:val="0"/>
        <w:adjustRightInd w:val="0"/>
        <w:spacing w:line="360" w:lineRule="auto"/>
        <w:jc w:val="center"/>
        <w:rPr>
          <w:rFonts w:hint="eastAsia" w:ascii="宋体" w:hAnsi="宋体" w:cs="宋体"/>
          <w:b/>
          <w:bCs/>
          <w:color w:val="000000"/>
          <w:sz w:val="28"/>
          <w:szCs w:val="28"/>
        </w:rPr>
      </w:pPr>
      <w:r>
        <w:rPr>
          <w:rFonts w:hint="eastAsia" w:ascii="宋体" w:hAnsi="宋体" w:cs="宋体"/>
          <w:b/>
          <w:bCs/>
          <w:color w:val="000000"/>
          <w:sz w:val="28"/>
          <w:szCs w:val="28"/>
        </w:rPr>
        <w:t>落实政府采购政策需满足的资格要求</w:t>
      </w:r>
    </w:p>
    <w:p w14:paraId="21B20BDC">
      <w:pPr>
        <w:autoSpaceDE w:val="0"/>
        <w:autoSpaceDN w:val="0"/>
        <w:adjustRightInd w:val="0"/>
        <w:rPr>
          <w:rFonts w:hint="eastAsia" w:ascii="宋体" w:hAnsi="宋体" w:cs="宋体"/>
          <w:color w:val="000000"/>
          <w:sz w:val="24"/>
          <w:szCs w:val="24"/>
        </w:rPr>
      </w:pPr>
      <w:r>
        <w:rPr>
          <w:rFonts w:hint="eastAsia" w:ascii="宋体" w:hAnsi="宋体" w:cs="宋体"/>
          <w:color w:val="000000"/>
          <w:sz w:val="24"/>
          <w:szCs w:val="24"/>
        </w:rPr>
        <w:t>如本项目（包）专门面向中小企业采购，投标文件中须提供《中小企业声明函》或《残疾人福利性单位声明函》或由省级以上监狱管理局、戒毒管理局（含新疆生产建设兵团）出具的属于监狱企业的证明文件。</w:t>
      </w:r>
    </w:p>
    <w:p w14:paraId="467DC299">
      <w:pPr>
        <w:autoSpaceDE w:val="0"/>
        <w:autoSpaceDN w:val="0"/>
        <w:adjustRightInd w:val="0"/>
        <w:spacing w:line="360" w:lineRule="auto"/>
        <w:jc w:val="center"/>
        <w:rPr>
          <w:rFonts w:hint="eastAsia" w:ascii="宋体" w:hAnsi="宋体" w:cs="宋体"/>
          <w:b/>
          <w:bCs/>
          <w:color w:val="000000"/>
          <w:sz w:val="28"/>
          <w:szCs w:val="28"/>
          <w:lang w:val="zh-CN"/>
        </w:rPr>
      </w:pPr>
      <w:r>
        <w:rPr>
          <w:rFonts w:hint="eastAsia" w:ascii="宋体" w:hAnsi="宋体" w:cs="宋体"/>
          <w:b/>
          <w:bCs/>
          <w:color w:val="000000"/>
          <w:sz w:val="28"/>
          <w:szCs w:val="28"/>
          <w:lang w:val="zh-CN"/>
        </w:rPr>
        <w:t>中小企业声明函（货物）</w:t>
      </w:r>
    </w:p>
    <w:p w14:paraId="619F52F4">
      <w:pPr>
        <w:pStyle w:val="64"/>
        <w:spacing w:line="240" w:lineRule="auto"/>
        <w:ind w:right="157" w:firstLine="642"/>
        <w:rPr>
          <w:rFonts w:hint="eastAsia" w:ascii="宋体" w:hAnsi="宋体" w:eastAsia="宋体" w:cs="宋体"/>
          <w:szCs w:val="24"/>
        </w:rPr>
      </w:pPr>
      <w:r>
        <w:rPr>
          <w:rFonts w:hint="eastAsia" w:ascii="宋体" w:hAnsi="宋体" w:eastAsia="宋体" w:cs="宋体"/>
          <w:szCs w:val="24"/>
        </w:rPr>
        <w:t>本公司（联合体）郑重声明，根据《政府采购促进中小企业发展管理办法》（财库 ﹝2020﹞46号）的规定，本公司（联合体）参加</w:t>
      </w:r>
      <w:r>
        <w:rPr>
          <w:rFonts w:hint="eastAsia" w:ascii="宋体" w:hAnsi="宋体" w:eastAsia="宋体" w:cs="宋体"/>
          <w:szCs w:val="24"/>
          <w:u w:val="single"/>
        </w:rPr>
        <w:t>（单位名称）</w:t>
      </w:r>
      <w:r>
        <w:rPr>
          <w:rFonts w:hint="eastAsia" w:ascii="宋体" w:hAnsi="宋体" w:eastAsia="宋体" w:cs="宋体"/>
          <w:szCs w:val="24"/>
        </w:rPr>
        <w:t>的</w:t>
      </w:r>
      <w:r>
        <w:rPr>
          <w:rFonts w:hint="eastAsia" w:ascii="宋体" w:hAnsi="宋体" w:eastAsia="宋体" w:cs="宋体"/>
          <w:szCs w:val="24"/>
          <w:u w:val="single"/>
        </w:rPr>
        <w:t>（项目名称）</w:t>
      </w:r>
      <w:r>
        <w:rPr>
          <w:rFonts w:hint="eastAsia" w:ascii="宋体" w:hAnsi="宋体" w:eastAsia="宋体" w:cs="宋体"/>
          <w:szCs w:val="24"/>
        </w:rPr>
        <w:t xml:space="preserve">采购活动，提供的货物全部由符合政策要求的中小企业制造。相关企业（含联合体中的中小企业、签订分包意向协议的中小企业）的具体情况如下： </w:t>
      </w:r>
    </w:p>
    <w:p w14:paraId="383E3FA5">
      <w:pPr>
        <w:widowControl/>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color w:val="000000"/>
          <w:sz w:val="24"/>
          <w:szCs w:val="24"/>
          <w:u w:val="single"/>
        </w:rPr>
        <w:t>（标的名称）</w:t>
      </w:r>
      <w:r>
        <w:rPr>
          <w:rFonts w:hint="eastAsia" w:ascii="宋体" w:hAnsi="宋体" w:cs="宋体"/>
          <w:color w:val="000000"/>
          <w:sz w:val="24"/>
          <w:szCs w:val="24"/>
        </w:rPr>
        <w:t>，属于</w:t>
      </w:r>
      <w:r>
        <w:rPr>
          <w:rFonts w:hint="eastAsia" w:ascii="宋体" w:hAnsi="宋体" w:cs="宋体"/>
          <w:color w:val="000000"/>
          <w:sz w:val="24"/>
          <w:szCs w:val="24"/>
          <w:u w:val="single"/>
        </w:rPr>
        <w:t>（采购文件中明确的所属行业）行业</w:t>
      </w:r>
      <w:r>
        <w:rPr>
          <w:rFonts w:hint="eastAsia" w:ascii="宋体" w:hAnsi="宋体" w:cs="宋体"/>
          <w:color w:val="000000"/>
          <w:sz w:val="24"/>
          <w:szCs w:val="24"/>
        </w:rPr>
        <w:t>；制造商为</w:t>
      </w:r>
      <w:r>
        <w:rPr>
          <w:rFonts w:hint="eastAsia" w:ascii="宋体" w:hAnsi="宋体" w:cs="宋体"/>
          <w:color w:val="000000"/>
          <w:sz w:val="24"/>
          <w:szCs w:val="24"/>
          <w:u w:val="single"/>
        </w:rPr>
        <w:t>（企业名称）</w:t>
      </w:r>
      <w:r>
        <w:rPr>
          <w:rFonts w:hint="eastAsia" w:ascii="宋体" w:hAnsi="宋体" w:cs="宋体"/>
          <w:color w:val="000000"/>
          <w:sz w:val="24"/>
          <w:szCs w:val="24"/>
        </w:rPr>
        <w:t>，从业人员</w:t>
      </w:r>
      <w:r>
        <w:rPr>
          <w:rFonts w:hint="eastAsia" w:ascii="宋体" w:hAnsi="宋体" w:cs="宋体"/>
          <w:color w:val="000000"/>
          <w:sz w:val="24"/>
          <w:szCs w:val="24"/>
          <w:u w:val="single"/>
        </w:rPr>
        <w:t xml:space="preserve">   </w:t>
      </w:r>
      <w:r>
        <w:rPr>
          <w:rFonts w:hint="eastAsia" w:ascii="宋体" w:hAnsi="宋体" w:cs="宋体"/>
          <w:color w:val="000000"/>
          <w:sz w:val="24"/>
          <w:szCs w:val="24"/>
        </w:rPr>
        <w:t>人，营业收入为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万元，资产总额为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w:t>
      </w:r>
      <w:r>
        <w:rPr>
          <w:rFonts w:hint="eastAsia" w:ascii="宋体" w:hAnsi="宋体" w:cs="宋体"/>
          <w:color w:val="000000"/>
          <w:position w:val="16"/>
          <w:sz w:val="24"/>
          <w:szCs w:val="24"/>
          <w:vertAlign w:val="superscript"/>
        </w:rPr>
        <w:t>1</w:t>
      </w:r>
      <w:r>
        <w:rPr>
          <w:rFonts w:hint="eastAsia" w:ascii="宋体" w:hAnsi="宋体" w:cs="宋体"/>
          <w:color w:val="000000"/>
          <w:sz w:val="24"/>
          <w:szCs w:val="24"/>
        </w:rPr>
        <w:t>，属于</w:t>
      </w:r>
      <w:r>
        <w:rPr>
          <w:rFonts w:hint="eastAsia" w:ascii="宋体" w:hAnsi="宋体" w:cs="宋体"/>
          <w:color w:val="000000"/>
          <w:sz w:val="24"/>
          <w:szCs w:val="24"/>
          <w:u w:val="single"/>
        </w:rPr>
        <w:t>（中型企业、小型企业、微型企业）</w:t>
      </w:r>
      <w:r>
        <w:rPr>
          <w:rFonts w:hint="eastAsia" w:ascii="宋体" w:hAnsi="宋体" w:cs="宋体"/>
          <w:color w:val="000000"/>
          <w:sz w:val="24"/>
          <w:szCs w:val="24"/>
        </w:rPr>
        <w:t xml:space="preserve">； </w:t>
      </w:r>
    </w:p>
    <w:p w14:paraId="471C7116">
      <w:pPr>
        <w:widowControl/>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2.</w:t>
      </w:r>
      <w:r>
        <w:rPr>
          <w:rFonts w:hint="eastAsia" w:ascii="宋体" w:hAnsi="宋体" w:cs="宋体"/>
          <w:color w:val="000000"/>
          <w:sz w:val="24"/>
          <w:szCs w:val="24"/>
          <w:u w:val="single"/>
        </w:rPr>
        <w:t>（标的名称）</w:t>
      </w:r>
      <w:r>
        <w:rPr>
          <w:rFonts w:hint="eastAsia" w:ascii="宋体" w:hAnsi="宋体" w:cs="宋体"/>
          <w:color w:val="000000"/>
          <w:sz w:val="24"/>
          <w:szCs w:val="24"/>
        </w:rPr>
        <w:t>，属于</w:t>
      </w:r>
      <w:r>
        <w:rPr>
          <w:rFonts w:hint="eastAsia" w:ascii="宋体" w:hAnsi="宋体" w:cs="宋体"/>
          <w:color w:val="000000"/>
          <w:sz w:val="24"/>
          <w:szCs w:val="24"/>
          <w:u w:val="single"/>
        </w:rPr>
        <w:t>（采购文件中明确的所属行业）行业</w:t>
      </w:r>
      <w:r>
        <w:rPr>
          <w:rFonts w:hint="eastAsia" w:ascii="宋体" w:hAnsi="宋体" w:cs="宋体"/>
          <w:color w:val="000000"/>
          <w:sz w:val="24"/>
          <w:szCs w:val="24"/>
        </w:rPr>
        <w:t>；制造商为</w:t>
      </w:r>
      <w:r>
        <w:rPr>
          <w:rFonts w:hint="eastAsia" w:ascii="宋体" w:hAnsi="宋体" w:cs="宋体"/>
          <w:color w:val="000000"/>
          <w:sz w:val="24"/>
          <w:szCs w:val="24"/>
          <w:u w:val="single"/>
        </w:rPr>
        <w:t>（企业名称）</w:t>
      </w:r>
      <w:r>
        <w:rPr>
          <w:rFonts w:hint="eastAsia" w:ascii="宋体" w:hAnsi="宋体" w:cs="宋体"/>
          <w:color w:val="000000"/>
          <w:sz w:val="24"/>
          <w:szCs w:val="24"/>
        </w:rPr>
        <w:t>，从业人员</w:t>
      </w:r>
      <w:r>
        <w:rPr>
          <w:rFonts w:hint="eastAsia" w:ascii="宋体" w:hAnsi="宋体" w:cs="宋体"/>
          <w:color w:val="000000"/>
          <w:sz w:val="24"/>
          <w:szCs w:val="24"/>
          <w:u w:val="single"/>
        </w:rPr>
        <w:t xml:space="preserve">   </w:t>
      </w:r>
      <w:r>
        <w:rPr>
          <w:rFonts w:hint="eastAsia" w:ascii="宋体" w:hAnsi="宋体" w:cs="宋体"/>
          <w:color w:val="000000"/>
          <w:sz w:val="24"/>
          <w:szCs w:val="24"/>
        </w:rPr>
        <w:t>人，营业收入为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万元，资产总额为</w:t>
      </w:r>
      <w:r>
        <w:rPr>
          <w:rFonts w:hint="eastAsia" w:ascii="宋体" w:hAnsi="宋体" w:cs="宋体"/>
          <w:color w:val="000000"/>
          <w:sz w:val="24"/>
          <w:szCs w:val="24"/>
          <w:u w:val="single"/>
        </w:rPr>
        <w:t xml:space="preserve">   </w:t>
      </w:r>
      <w:r>
        <w:rPr>
          <w:rFonts w:hint="eastAsia" w:ascii="宋体" w:hAnsi="宋体" w:cs="宋体"/>
          <w:color w:val="000000"/>
          <w:sz w:val="24"/>
          <w:szCs w:val="24"/>
        </w:rPr>
        <w:t>万元，属于</w:t>
      </w:r>
      <w:r>
        <w:rPr>
          <w:rFonts w:hint="eastAsia" w:ascii="宋体" w:hAnsi="宋体" w:cs="宋体"/>
          <w:color w:val="000000"/>
          <w:sz w:val="24"/>
          <w:szCs w:val="24"/>
          <w:u w:val="single"/>
        </w:rPr>
        <w:t>（中型企业、小型企业、微型企业）</w:t>
      </w:r>
      <w:r>
        <w:rPr>
          <w:rFonts w:hint="eastAsia" w:ascii="宋体" w:hAnsi="宋体" w:cs="宋体"/>
          <w:color w:val="000000"/>
          <w:sz w:val="24"/>
          <w:szCs w:val="24"/>
        </w:rPr>
        <w:t xml:space="preserve">； </w:t>
      </w:r>
    </w:p>
    <w:p w14:paraId="292B3229">
      <w:pPr>
        <w:pStyle w:val="65"/>
        <w:spacing w:line="240" w:lineRule="auto"/>
        <w:ind w:left="642"/>
        <w:rPr>
          <w:rFonts w:hint="eastAsia" w:ascii="宋体" w:hAnsi="宋体" w:eastAsia="宋体" w:cs="宋体"/>
          <w:szCs w:val="24"/>
        </w:rPr>
      </w:pPr>
      <w:r>
        <w:rPr>
          <w:rFonts w:hint="eastAsia" w:ascii="宋体" w:hAnsi="宋体" w:eastAsia="宋体" w:cs="宋体"/>
          <w:szCs w:val="24"/>
        </w:rPr>
        <w:t>……</w:t>
      </w:r>
    </w:p>
    <w:p w14:paraId="79300836">
      <w:pPr>
        <w:pStyle w:val="64"/>
        <w:spacing w:line="240" w:lineRule="auto"/>
        <w:ind w:right="157" w:firstLine="642"/>
        <w:rPr>
          <w:rFonts w:hint="eastAsia" w:ascii="宋体" w:hAnsi="宋体" w:eastAsia="宋体" w:cs="宋体"/>
          <w:szCs w:val="24"/>
        </w:rPr>
      </w:pPr>
      <w:r>
        <w:rPr>
          <w:rFonts w:hint="eastAsia" w:ascii="宋体" w:hAnsi="宋体" w:eastAsia="宋体" w:cs="宋体"/>
          <w:szCs w:val="24"/>
        </w:rPr>
        <w:t>以上企业，不属于大企业的分支机构，不存在控股股东为大企业的情形，也不存在与大企业的负责人为同一人的情形。</w:t>
      </w:r>
    </w:p>
    <w:p w14:paraId="42B7FE19">
      <w:pPr>
        <w:pStyle w:val="65"/>
        <w:spacing w:line="240" w:lineRule="auto"/>
        <w:ind w:left="642"/>
        <w:rPr>
          <w:rFonts w:hint="eastAsia" w:ascii="宋体" w:hAnsi="宋体" w:eastAsia="宋体" w:cs="宋体"/>
          <w:szCs w:val="24"/>
        </w:rPr>
      </w:pPr>
      <w:r>
        <w:rPr>
          <w:rFonts w:hint="eastAsia" w:ascii="宋体" w:hAnsi="宋体" w:eastAsia="宋体" w:cs="宋体"/>
          <w:szCs w:val="24"/>
        </w:rPr>
        <w:t>本企业对上述声明内容的真实性负责。如有虚假，将依法承担相应责任。</w:t>
      </w:r>
    </w:p>
    <w:p w14:paraId="279BCFF0">
      <w:pPr>
        <w:pStyle w:val="66"/>
        <w:spacing w:line="240" w:lineRule="auto"/>
        <w:ind w:left="4416" w:leftChars="1960" w:hanging="300" w:hangingChars="125"/>
        <w:rPr>
          <w:rFonts w:hint="eastAsia" w:ascii="宋体" w:hAnsi="宋体" w:eastAsia="宋体" w:cs="宋体"/>
          <w:szCs w:val="24"/>
        </w:rPr>
      </w:pPr>
      <w:r>
        <w:rPr>
          <w:rFonts w:hint="eastAsia" w:ascii="宋体" w:hAnsi="宋体" w:eastAsia="宋体" w:cs="宋体"/>
          <w:szCs w:val="24"/>
        </w:rPr>
        <w:t>企业名称（盖章）：</w:t>
      </w:r>
    </w:p>
    <w:p w14:paraId="1F84EF46">
      <w:pPr>
        <w:pStyle w:val="66"/>
        <w:spacing w:line="240" w:lineRule="auto"/>
        <w:ind w:left="4416" w:leftChars="1960" w:hanging="300" w:hangingChars="125"/>
        <w:rPr>
          <w:rFonts w:hint="eastAsia"/>
          <w:szCs w:val="24"/>
        </w:rPr>
      </w:pPr>
      <w:r>
        <w:rPr>
          <w:rFonts w:hint="eastAsia" w:ascii="宋体" w:hAnsi="宋体" w:eastAsia="宋体" w:cs="宋体"/>
          <w:szCs w:val="24"/>
        </w:rPr>
        <w:t>日期：</w:t>
      </w:r>
      <w:r>
        <w:rPr>
          <w:rFonts w:hint="eastAsia"/>
          <w:szCs w:val="24"/>
        </w:rPr>
        <w:t xml:space="preserve"> </w:t>
      </w:r>
    </w:p>
    <w:p w14:paraId="49DC160A">
      <w:pPr>
        <w:pStyle w:val="66"/>
        <w:spacing w:line="240" w:lineRule="auto"/>
        <w:rPr>
          <w:rFonts w:hint="eastAsia"/>
          <w:szCs w:val="24"/>
          <w:vertAlign w:val="superscript"/>
        </w:rPr>
      </w:pPr>
      <w:r>
        <w:rPr>
          <w:rFonts w:hint="eastAsia"/>
          <w:szCs w:val="24"/>
          <w:vertAlign w:val="superscript"/>
        </w:rPr>
        <w:t xml:space="preserve"> </w:t>
      </w:r>
    </w:p>
    <w:p w14:paraId="1B464DA9">
      <w:pPr>
        <w:pStyle w:val="63"/>
        <w:rPr>
          <w:szCs w:val="24"/>
          <w:vertAlign w:val="superscript"/>
        </w:rPr>
      </w:pPr>
    </w:p>
    <w:p w14:paraId="731DFF91">
      <w:pPr>
        <w:pStyle w:val="66"/>
        <w:numPr>
          <w:ilvl w:val="0"/>
          <w:numId w:val="8"/>
        </w:numPr>
        <w:pBdr>
          <w:top w:val="single" w:color="auto" w:sz="4" w:space="1"/>
          <w:left w:val="none" w:color="auto" w:sz="0" w:space="4"/>
          <w:bottom w:val="none" w:color="auto" w:sz="0" w:space="1"/>
          <w:right w:val="none" w:color="auto" w:sz="0" w:space="4"/>
        </w:pBdr>
        <w:spacing w:line="240" w:lineRule="auto"/>
        <w:rPr>
          <w:rFonts w:hint="eastAsia" w:ascii="宋体" w:hAnsi="宋体" w:eastAsia="宋体" w:cs="宋体"/>
          <w:b/>
          <w:bCs/>
          <w:szCs w:val="24"/>
        </w:rPr>
      </w:pPr>
      <w:r>
        <w:rPr>
          <w:rFonts w:hint="eastAsia" w:ascii="宋体" w:hAnsi="宋体" w:eastAsia="宋体" w:cs="宋体"/>
          <w:b/>
          <w:bCs/>
          <w:szCs w:val="24"/>
        </w:rPr>
        <w:t>从业人员、营业收入、资产总额填报上一年度数据，无上一年度数据的新成立企业可不填报。</w:t>
      </w:r>
    </w:p>
    <w:p w14:paraId="60E26033">
      <w:pPr>
        <w:pStyle w:val="63"/>
        <w:rPr>
          <w:rFonts w:ascii="宋体" w:hAnsi="宋体" w:eastAsia="宋体" w:cs="宋体"/>
          <w:b/>
          <w:bCs/>
          <w:szCs w:val="24"/>
        </w:rPr>
      </w:pPr>
      <w:r>
        <w:rPr>
          <w:rFonts w:ascii="宋体" w:hAnsi="宋体" w:eastAsia="宋体" w:cs="宋体"/>
          <w:b/>
          <w:bCs/>
          <w:szCs w:val="24"/>
        </w:rPr>
        <w:t>2.</w:t>
      </w:r>
      <w:r>
        <w:rPr>
          <w:rFonts w:hint="eastAsia" w:ascii="宋体" w:hAnsi="宋体" w:eastAsia="宋体" w:cs="宋体"/>
          <w:b/>
          <w:bCs/>
          <w:szCs w:val="24"/>
          <w:lang w:val="en-US" w:eastAsia="zh-CN"/>
        </w:rPr>
        <w:t>本项目专门面向中小企业采购，供应商应按采购标的逐项填写</w:t>
      </w:r>
    </w:p>
    <w:p w14:paraId="10169F88">
      <w:pPr>
        <w:jc w:val="center"/>
        <w:rPr>
          <w:rFonts w:hint="eastAsia" w:ascii="宋体" w:hAnsi="宋体" w:cs="宋体"/>
          <w:b/>
          <w:bCs/>
          <w:color w:val="000000"/>
          <w:sz w:val="28"/>
          <w:szCs w:val="28"/>
          <w:lang w:val="zh-CN"/>
        </w:rPr>
      </w:pPr>
    </w:p>
    <w:p w14:paraId="67916E8C">
      <w:pPr>
        <w:jc w:val="center"/>
        <w:rPr>
          <w:rFonts w:hint="eastAsia" w:ascii="宋体" w:hAnsi="宋体" w:cs="宋体"/>
          <w:b/>
          <w:bCs/>
          <w:color w:val="000000"/>
          <w:sz w:val="28"/>
          <w:szCs w:val="28"/>
          <w:lang w:val="zh-CN"/>
        </w:rPr>
      </w:pPr>
      <w:r>
        <w:rPr>
          <w:rFonts w:hint="eastAsia" w:ascii="宋体" w:hAnsi="宋体" w:cs="宋体"/>
          <w:b/>
          <w:bCs/>
          <w:color w:val="000000"/>
          <w:sz w:val="28"/>
          <w:szCs w:val="28"/>
          <w:lang w:val="zh-CN"/>
        </w:rPr>
        <w:t>监狱企业</w:t>
      </w:r>
    </w:p>
    <w:p w14:paraId="514AF1E3">
      <w:pPr>
        <w:rPr>
          <w:rFonts w:hint="eastAsia" w:ascii="宋体" w:hAnsi="宋体" w:cs="宋体"/>
          <w:color w:val="000000"/>
          <w:szCs w:val="21"/>
        </w:rPr>
      </w:pPr>
      <w:r>
        <w:rPr>
          <w:rFonts w:hint="eastAsia" w:ascii="宋体" w:hAnsi="宋体" w:cs="宋体"/>
          <w:color w:val="000000"/>
          <w:szCs w:val="21"/>
        </w:rPr>
        <w:t xml:space="preserve">   </w:t>
      </w:r>
    </w:p>
    <w:p w14:paraId="432E6310">
      <w:pPr>
        <w:spacing w:line="360" w:lineRule="auto"/>
        <w:ind w:firstLine="480" w:firstLineChars="200"/>
        <w:jc w:val="left"/>
        <w:rPr>
          <w:rFonts w:hint="eastAsia" w:ascii="宋体" w:hAnsi="宋体" w:cs="宋体"/>
          <w:color w:val="000000"/>
          <w:sz w:val="24"/>
          <w:szCs w:val="24"/>
        </w:rPr>
      </w:pPr>
      <w:r>
        <w:rPr>
          <w:rFonts w:hint="eastAsia" w:ascii="宋体" w:hAnsi="宋体" w:cs="宋体"/>
          <w:color w:val="000000"/>
          <w:sz w:val="24"/>
          <w:szCs w:val="24"/>
        </w:rPr>
        <w:t xml:space="preserve"> 监狱企业参加政府采购活动时，应当提供由省级以上监狱管理局、戒毒管理局（含新疆生产建设兵团）</w:t>
      </w:r>
      <w:r>
        <w:rPr>
          <w:rFonts w:hint="eastAsia"/>
          <w:sz w:val="24"/>
          <w:szCs w:val="24"/>
        </w:rPr>
        <w:t>出具的属于监狱企业的证明文件并加盖投标单位章。</w:t>
      </w:r>
    </w:p>
    <w:p w14:paraId="659B2F3B">
      <w:pPr>
        <w:autoSpaceDE w:val="0"/>
        <w:autoSpaceDN w:val="0"/>
        <w:adjustRightInd w:val="0"/>
        <w:jc w:val="center"/>
        <w:rPr>
          <w:rFonts w:hint="eastAsia" w:hAnsi="宋体" w:cs="宋体"/>
          <w:b/>
          <w:bCs/>
          <w:color w:val="000000"/>
          <w:sz w:val="24"/>
          <w:szCs w:val="24"/>
        </w:rPr>
      </w:pPr>
    </w:p>
    <w:p w14:paraId="0D6FE325">
      <w:pPr>
        <w:autoSpaceDE w:val="0"/>
        <w:autoSpaceDN w:val="0"/>
        <w:adjustRightInd w:val="0"/>
        <w:rPr>
          <w:rFonts w:hint="eastAsia" w:ascii="宋体" w:hAnsi="宋体" w:cs="宋体"/>
          <w:b/>
          <w:bCs/>
          <w:color w:val="000000"/>
          <w:szCs w:val="21"/>
          <w:lang w:val="zh-CN"/>
        </w:rPr>
      </w:pPr>
    </w:p>
    <w:p w14:paraId="1869CDD2">
      <w:pPr>
        <w:autoSpaceDE w:val="0"/>
        <w:autoSpaceDN w:val="0"/>
        <w:adjustRightInd w:val="0"/>
        <w:jc w:val="center"/>
        <w:rPr>
          <w:rFonts w:hint="eastAsia" w:ascii="宋体" w:hAnsi="宋体" w:cs="宋体"/>
          <w:b/>
          <w:bCs/>
          <w:color w:val="000000"/>
          <w:szCs w:val="21"/>
          <w:lang w:val="zh-CN"/>
        </w:rPr>
      </w:pPr>
    </w:p>
    <w:p w14:paraId="2E09C0CA">
      <w:pPr>
        <w:autoSpaceDE w:val="0"/>
        <w:autoSpaceDN w:val="0"/>
        <w:adjustRightInd w:val="0"/>
        <w:jc w:val="center"/>
        <w:rPr>
          <w:rFonts w:hint="eastAsia" w:ascii="宋体" w:hAnsi="宋体" w:cs="宋体"/>
          <w:b/>
          <w:bCs/>
          <w:color w:val="000000"/>
          <w:szCs w:val="21"/>
          <w:lang w:val="zh-CN"/>
        </w:rPr>
      </w:pPr>
    </w:p>
    <w:p w14:paraId="4735D482">
      <w:pPr>
        <w:autoSpaceDE w:val="0"/>
        <w:autoSpaceDN w:val="0"/>
        <w:adjustRightInd w:val="0"/>
        <w:jc w:val="center"/>
        <w:rPr>
          <w:rFonts w:hint="eastAsia" w:ascii="宋体" w:hAnsi="宋体" w:cs="宋体"/>
          <w:b/>
          <w:bCs/>
          <w:color w:val="000000"/>
          <w:szCs w:val="21"/>
          <w:lang w:val="zh-CN"/>
        </w:rPr>
      </w:pPr>
    </w:p>
    <w:p w14:paraId="772651DF">
      <w:pPr>
        <w:autoSpaceDE w:val="0"/>
        <w:autoSpaceDN w:val="0"/>
        <w:adjustRightInd w:val="0"/>
        <w:jc w:val="center"/>
        <w:rPr>
          <w:rFonts w:hint="eastAsia" w:ascii="宋体" w:hAnsi="宋体" w:cs="宋体"/>
          <w:b/>
          <w:bCs/>
          <w:color w:val="000000"/>
          <w:szCs w:val="21"/>
          <w:lang w:val="zh-CN"/>
        </w:rPr>
      </w:pPr>
    </w:p>
    <w:p w14:paraId="141FBF44">
      <w:pPr>
        <w:autoSpaceDE w:val="0"/>
        <w:autoSpaceDN w:val="0"/>
        <w:adjustRightInd w:val="0"/>
        <w:jc w:val="center"/>
        <w:rPr>
          <w:rFonts w:hint="eastAsia" w:ascii="宋体" w:hAnsi="宋体" w:cs="宋体"/>
          <w:b/>
          <w:bCs/>
          <w:color w:val="000000"/>
          <w:szCs w:val="21"/>
          <w:lang w:val="zh-CN"/>
        </w:rPr>
      </w:pPr>
    </w:p>
    <w:p w14:paraId="20F952DF">
      <w:pPr>
        <w:autoSpaceDE w:val="0"/>
        <w:autoSpaceDN w:val="0"/>
        <w:adjustRightInd w:val="0"/>
        <w:jc w:val="center"/>
        <w:rPr>
          <w:rFonts w:hint="eastAsia" w:ascii="宋体" w:hAnsi="宋体" w:cs="宋体"/>
          <w:b/>
          <w:bCs/>
          <w:color w:val="000000"/>
          <w:szCs w:val="21"/>
          <w:lang w:val="zh-CN"/>
        </w:rPr>
      </w:pPr>
    </w:p>
    <w:p w14:paraId="17ECED36">
      <w:pPr>
        <w:autoSpaceDE w:val="0"/>
        <w:autoSpaceDN w:val="0"/>
        <w:adjustRightInd w:val="0"/>
        <w:jc w:val="center"/>
        <w:rPr>
          <w:rFonts w:hint="eastAsia" w:ascii="宋体" w:hAnsi="宋体" w:cs="宋体"/>
          <w:b/>
          <w:bCs/>
          <w:color w:val="000000"/>
          <w:szCs w:val="21"/>
          <w:lang w:val="zh-CN"/>
        </w:rPr>
      </w:pPr>
    </w:p>
    <w:p w14:paraId="7754ECEE">
      <w:pPr>
        <w:autoSpaceDE w:val="0"/>
        <w:autoSpaceDN w:val="0"/>
        <w:adjustRightInd w:val="0"/>
        <w:jc w:val="center"/>
        <w:rPr>
          <w:rFonts w:hint="eastAsia" w:ascii="宋体" w:hAnsi="宋体" w:cs="宋体"/>
          <w:b/>
          <w:bCs/>
          <w:color w:val="000000"/>
          <w:szCs w:val="21"/>
          <w:lang w:val="zh-CN"/>
        </w:rPr>
      </w:pPr>
    </w:p>
    <w:p w14:paraId="10126F22">
      <w:pPr>
        <w:autoSpaceDE w:val="0"/>
        <w:autoSpaceDN w:val="0"/>
        <w:adjustRightInd w:val="0"/>
        <w:jc w:val="center"/>
        <w:rPr>
          <w:rFonts w:hint="eastAsia" w:ascii="宋体" w:hAnsi="宋体" w:cs="宋体"/>
          <w:b/>
          <w:bCs/>
          <w:color w:val="000000"/>
          <w:szCs w:val="21"/>
          <w:lang w:val="zh-CN"/>
        </w:rPr>
      </w:pPr>
    </w:p>
    <w:p w14:paraId="2E3E2AD1">
      <w:pPr>
        <w:autoSpaceDE w:val="0"/>
        <w:autoSpaceDN w:val="0"/>
        <w:adjustRightInd w:val="0"/>
        <w:jc w:val="center"/>
        <w:rPr>
          <w:rFonts w:hint="eastAsia" w:ascii="宋体" w:hAnsi="宋体" w:cs="宋体"/>
          <w:b/>
          <w:bCs/>
          <w:color w:val="000000"/>
          <w:szCs w:val="21"/>
          <w:lang w:val="zh-CN"/>
        </w:rPr>
      </w:pPr>
    </w:p>
    <w:p w14:paraId="21FD67FF">
      <w:pPr>
        <w:rPr>
          <w:rFonts w:hint="eastAsia" w:ascii="宋体" w:hAnsi="宋体" w:cs="宋体"/>
          <w:b/>
          <w:bCs/>
          <w:color w:val="000000"/>
          <w:szCs w:val="21"/>
          <w:lang w:val="zh-CN"/>
        </w:rPr>
      </w:pPr>
    </w:p>
    <w:p w14:paraId="118B73D6">
      <w:pPr>
        <w:rPr>
          <w:lang w:val="zh-CN"/>
        </w:rPr>
      </w:pPr>
    </w:p>
    <w:p w14:paraId="2DE7962F">
      <w:pPr>
        <w:rPr>
          <w:lang w:val="zh-CN"/>
        </w:rPr>
      </w:pPr>
    </w:p>
    <w:p w14:paraId="287960D1">
      <w:pPr>
        <w:rPr>
          <w:lang w:val="zh-CN"/>
        </w:rPr>
      </w:pPr>
    </w:p>
    <w:p w14:paraId="5384004D">
      <w:pPr>
        <w:rPr>
          <w:lang w:val="zh-CN"/>
        </w:rPr>
      </w:pPr>
    </w:p>
    <w:p w14:paraId="0A0C63AA">
      <w:pPr>
        <w:autoSpaceDE w:val="0"/>
        <w:autoSpaceDN w:val="0"/>
        <w:adjustRightInd w:val="0"/>
        <w:jc w:val="center"/>
        <w:rPr>
          <w:rFonts w:hint="eastAsia" w:ascii="宋体" w:hAnsi="宋体" w:cs="宋体"/>
          <w:b/>
          <w:bCs/>
          <w:color w:val="000000"/>
          <w:szCs w:val="21"/>
          <w:lang w:val="zh-CN"/>
        </w:rPr>
      </w:pPr>
      <w:r>
        <w:rPr>
          <w:rFonts w:hint="eastAsia" w:ascii="宋体" w:hAnsi="宋体" w:cs="宋体"/>
          <w:b/>
          <w:bCs/>
          <w:color w:val="000000"/>
          <w:szCs w:val="21"/>
          <w:lang w:val="zh-CN"/>
        </w:rPr>
        <w:br w:type="page"/>
      </w:r>
    </w:p>
    <w:p w14:paraId="1858347F">
      <w:pPr>
        <w:autoSpaceDE w:val="0"/>
        <w:autoSpaceDN w:val="0"/>
        <w:adjustRightInd w:val="0"/>
        <w:jc w:val="center"/>
        <w:rPr>
          <w:color w:val="000000"/>
          <w:sz w:val="28"/>
          <w:szCs w:val="28"/>
        </w:rPr>
      </w:pPr>
      <w:r>
        <w:rPr>
          <w:rFonts w:hAnsi="宋体" w:cs="宋体"/>
          <w:b/>
          <w:color w:val="000000"/>
          <w:sz w:val="28"/>
          <w:szCs w:val="28"/>
          <w:lang w:bidi="ar"/>
        </w:rPr>
        <w:t>残疾人福利性单位声明函</w:t>
      </w:r>
    </w:p>
    <w:p w14:paraId="0AE2A769">
      <w:pPr>
        <w:jc w:val="center"/>
        <w:rPr>
          <w:rFonts w:hint="eastAsia" w:hAnsi="宋体" w:cs="宋体"/>
          <w:b/>
          <w:color w:val="000000"/>
          <w:szCs w:val="21"/>
          <w:lang w:bidi="ar"/>
        </w:rPr>
      </w:pPr>
      <w:r>
        <w:rPr>
          <w:rFonts w:hAnsi="宋体" w:cs="宋体"/>
          <w:b/>
          <w:color w:val="000000"/>
          <w:szCs w:val="21"/>
          <w:lang w:bidi="ar"/>
        </w:rPr>
        <w:t> </w:t>
      </w:r>
    </w:p>
    <w:p w14:paraId="343D0E42">
      <w:pPr>
        <w:spacing w:line="360" w:lineRule="auto"/>
        <w:rPr>
          <w:rFonts w:hint="eastAsia" w:ascii="宋体" w:hAnsi="宋体" w:cs="宋体"/>
          <w:sz w:val="24"/>
          <w:szCs w:val="24"/>
        </w:rPr>
      </w:pPr>
      <w:r>
        <w:rPr>
          <w:rFonts w:hAnsi="宋体" w:cs="宋体"/>
          <w:color w:val="000000"/>
          <w:sz w:val="24"/>
          <w:szCs w:val="24"/>
          <w:lang w:bidi="ar"/>
        </w:rPr>
        <w:t>   </w:t>
      </w:r>
      <w:r>
        <w:rPr>
          <w:rFonts w:hAnsi="宋体" w:cs="宋体"/>
          <w:color w:val="000000"/>
          <w:szCs w:val="21"/>
          <w:lang w:bidi="ar"/>
        </w:rPr>
        <w:t xml:space="preserve"> </w:t>
      </w:r>
      <w:r>
        <w:rPr>
          <w:rFonts w:hint="eastAsia" w:ascii="宋体" w:hAnsi="宋体" w:cs="宋体"/>
          <w:sz w:val="24"/>
          <w:szCs w:val="24"/>
        </w:rPr>
        <w:t>本单位郑重声明，根据《财政部 民政部 中国残疾人联合会关于促进残疾人就业政府采购政策的通知》(财库〔2017〕141号)的规定，本单位 (请进行选择)：</w:t>
      </w:r>
    </w:p>
    <w:p w14:paraId="2558CCC6">
      <w:pPr>
        <w:spacing w:line="360" w:lineRule="auto"/>
        <w:ind w:firstLine="480" w:firstLineChars="200"/>
        <w:rPr>
          <w:rFonts w:hint="eastAsia" w:ascii="宋体" w:hAnsi="宋体" w:cs="宋体"/>
          <w:sz w:val="24"/>
          <w:szCs w:val="24"/>
        </w:rPr>
      </w:pPr>
      <w:r>
        <w:rPr>
          <w:rFonts w:hint="eastAsia" w:ascii="宋体" w:hAnsi="宋体" w:cs="宋体"/>
          <w:sz w:val="24"/>
          <w:szCs w:val="24"/>
        </w:rPr>
        <w:t>□不属于符合条件的残疾人福利性单位。</w:t>
      </w:r>
    </w:p>
    <w:p w14:paraId="5AB496C1">
      <w:pPr>
        <w:spacing w:line="360" w:lineRule="auto"/>
        <w:ind w:firstLine="480" w:firstLineChars="200"/>
        <w:rPr>
          <w:rFonts w:hint="eastAsia" w:ascii="宋体" w:hAnsi="宋体" w:cs="宋体"/>
          <w:sz w:val="24"/>
          <w:szCs w:val="24"/>
        </w:rPr>
      </w:pPr>
      <w:r>
        <w:rPr>
          <w:rFonts w:hint="eastAsia" w:ascii="宋体" w:hAnsi="宋体" w:cs="宋体"/>
          <w:sz w:val="24"/>
          <w:szCs w:val="24"/>
        </w:rPr>
        <w:t>□属于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D08473F">
      <w:pPr>
        <w:spacing w:line="360" w:lineRule="auto"/>
        <w:ind w:firstLine="482" w:firstLineChars="200"/>
        <w:rPr>
          <w:rFonts w:hint="eastAsia" w:ascii="宋体" w:hAnsi="宋体" w:cs="宋体"/>
          <w:sz w:val="24"/>
          <w:szCs w:val="24"/>
        </w:rPr>
      </w:pPr>
      <w:r>
        <w:rPr>
          <w:rFonts w:hint="eastAsia" w:ascii="宋体" w:hAnsi="宋体" w:cs="宋体"/>
          <w:b/>
          <w:bCs/>
          <w:sz w:val="24"/>
          <w:szCs w:val="24"/>
        </w:rPr>
        <w:t>本单位对上述声明的真实性负责。如有虚假，将依法承担相应责任</w:t>
      </w:r>
      <w:r>
        <w:rPr>
          <w:rFonts w:hint="eastAsia" w:ascii="宋体" w:hAnsi="宋体" w:cs="宋体"/>
          <w:sz w:val="24"/>
          <w:szCs w:val="24"/>
        </w:rPr>
        <w:t>。</w:t>
      </w:r>
    </w:p>
    <w:p w14:paraId="21A233A0">
      <w:pPr>
        <w:spacing w:line="360" w:lineRule="auto"/>
        <w:rPr>
          <w:rFonts w:hint="eastAsia" w:ascii="宋体" w:hAnsi="宋体" w:cs="宋体"/>
          <w:sz w:val="24"/>
          <w:szCs w:val="24"/>
        </w:rPr>
      </w:pPr>
      <w:r>
        <w:rPr>
          <w:rFonts w:hint="eastAsia" w:ascii="宋体" w:hAnsi="宋体" w:cs="宋体"/>
          <w:sz w:val="24"/>
          <w:szCs w:val="24"/>
        </w:rPr>
        <w:t> </w:t>
      </w:r>
    </w:p>
    <w:p w14:paraId="66A33EA4">
      <w:pPr>
        <w:widowControl/>
        <w:spacing w:line="450" w:lineRule="atLeast"/>
        <w:jc w:val="left"/>
        <w:textAlignment w:val="baseline"/>
        <w:rPr>
          <w:color w:val="000000"/>
          <w:szCs w:val="21"/>
        </w:rPr>
      </w:pPr>
      <w:r>
        <w:rPr>
          <w:rFonts w:hAnsi="宋体" w:cs="宋体"/>
          <w:color w:val="000000"/>
          <w:szCs w:val="21"/>
          <w:lang w:bidi="ar"/>
        </w:rPr>
        <w:t> </w:t>
      </w:r>
    </w:p>
    <w:p w14:paraId="1FA6F84A">
      <w:pPr>
        <w:widowControl/>
        <w:spacing w:line="450" w:lineRule="atLeast"/>
        <w:jc w:val="center"/>
        <w:textAlignment w:val="baseline"/>
        <w:rPr>
          <w:rFonts w:hint="eastAsia" w:hAnsi="宋体" w:cs="宋体"/>
          <w:color w:val="000000"/>
          <w:sz w:val="24"/>
          <w:szCs w:val="24"/>
          <w:lang w:bidi="ar"/>
        </w:rPr>
      </w:pPr>
      <w:r>
        <w:rPr>
          <w:rFonts w:hAnsi="宋体" w:cs="宋体"/>
          <w:color w:val="000000"/>
          <w:szCs w:val="21"/>
          <w:lang w:bidi="ar"/>
        </w:rPr>
        <w:t>                                              </w:t>
      </w:r>
      <w:r>
        <w:rPr>
          <w:rFonts w:hAnsi="宋体" w:cs="宋体"/>
          <w:color w:val="000000"/>
          <w:sz w:val="24"/>
          <w:szCs w:val="24"/>
          <w:lang w:bidi="ar"/>
        </w:rPr>
        <w:t>   </w:t>
      </w:r>
      <w:r>
        <w:rPr>
          <w:rFonts w:hint="eastAsia" w:hAnsi="宋体" w:cs="宋体"/>
          <w:color w:val="000000"/>
          <w:sz w:val="24"/>
          <w:szCs w:val="24"/>
          <w:lang w:bidi="ar"/>
        </w:rPr>
        <w:t xml:space="preserve">        投标人名称（加盖公章）：</w:t>
      </w:r>
    </w:p>
    <w:p w14:paraId="638FF923">
      <w:pPr>
        <w:widowControl/>
        <w:spacing w:line="450" w:lineRule="atLeast"/>
        <w:jc w:val="center"/>
        <w:textAlignment w:val="baseline"/>
        <w:rPr>
          <w:rFonts w:hint="eastAsia" w:hAnsi="宋体" w:cs="宋体"/>
          <w:color w:val="000000"/>
          <w:sz w:val="24"/>
          <w:szCs w:val="24"/>
          <w:lang w:bidi="ar"/>
        </w:rPr>
      </w:pPr>
      <w:r>
        <w:rPr>
          <w:rFonts w:hint="eastAsia" w:hAnsi="宋体" w:cs="宋体"/>
          <w:color w:val="000000"/>
          <w:sz w:val="24"/>
          <w:szCs w:val="24"/>
          <w:lang w:bidi="ar"/>
        </w:rPr>
        <w:t xml:space="preserve">    法定代表人或授权代表（签字或盖章）：</w:t>
      </w:r>
    </w:p>
    <w:p w14:paraId="25558DC8">
      <w:pPr>
        <w:widowControl/>
        <w:spacing w:line="450" w:lineRule="atLeast"/>
        <w:jc w:val="center"/>
        <w:textAlignment w:val="baseline"/>
        <w:rPr>
          <w:color w:val="000000"/>
          <w:sz w:val="24"/>
          <w:szCs w:val="24"/>
        </w:rPr>
      </w:pPr>
      <w:r>
        <w:rPr>
          <w:rFonts w:hAnsi="宋体" w:cs="宋体"/>
          <w:color w:val="000000"/>
          <w:sz w:val="24"/>
          <w:szCs w:val="24"/>
          <w:lang w:bidi="ar"/>
        </w:rPr>
        <w:t>           </w:t>
      </w:r>
      <w:r>
        <w:rPr>
          <w:rFonts w:hint="eastAsia" w:hAnsi="宋体" w:cs="宋体"/>
          <w:color w:val="000000"/>
          <w:sz w:val="24"/>
          <w:szCs w:val="24"/>
          <w:lang w:bidi="ar"/>
        </w:rPr>
        <w:t xml:space="preserve">          </w:t>
      </w:r>
      <w:r>
        <w:rPr>
          <w:rFonts w:hAnsi="宋体" w:cs="宋体"/>
          <w:color w:val="000000"/>
          <w:sz w:val="24"/>
          <w:szCs w:val="24"/>
          <w:lang w:bidi="ar"/>
        </w:rPr>
        <w:t>日 期：</w:t>
      </w:r>
    </w:p>
    <w:p w14:paraId="5E2CF1DE">
      <w:pPr>
        <w:spacing w:before="168" w:line="232" w:lineRule="auto"/>
        <w:jc w:val="center"/>
        <w:outlineLvl w:val="2"/>
        <w:rPr>
          <w:rFonts w:hint="eastAsia" w:ascii="宋体" w:hAnsi="宋体" w:cs="宋体"/>
          <w:b/>
          <w:bCs/>
          <w:spacing w:val="1"/>
          <w:sz w:val="28"/>
          <w:szCs w:val="28"/>
        </w:rPr>
      </w:pPr>
    </w:p>
    <w:p w14:paraId="7D47C509">
      <w:pPr>
        <w:spacing w:before="168" w:line="232" w:lineRule="auto"/>
        <w:jc w:val="center"/>
        <w:outlineLvl w:val="2"/>
        <w:rPr>
          <w:rFonts w:hint="eastAsia" w:ascii="宋体" w:hAnsi="宋体" w:cs="宋体"/>
          <w:b/>
          <w:bCs/>
          <w:spacing w:val="1"/>
          <w:sz w:val="28"/>
          <w:szCs w:val="28"/>
        </w:rPr>
      </w:pPr>
    </w:p>
    <w:p w14:paraId="455EDFFB">
      <w:pPr>
        <w:spacing w:before="168" w:line="232" w:lineRule="auto"/>
        <w:jc w:val="center"/>
        <w:outlineLvl w:val="2"/>
        <w:rPr>
          <w:rFonts w:hint="eastAsia" w:ascii="宋体" w:hAnsi="宋体" w:cs="宋体"/>
          <w:b/>
          <w:bCs/>
          <w:spacing w:val="1"/>
          <w:sz w:val="28"/>
          <w:szCs w:val="28"/>
        </w:rPr>
      </w:pPr>
    </w:p>
    <w:p w14:paraId="63C387CF">
      <w:pPr>
        <w:spacing w:before="168" w:line="232" w:lineRule="auto"/>
        <w:jc w:val="center"/>
        <w:outlineLvl w:val="2"/>
        <w:rPr>
          <w:rFonts w:hint="eastAsia" w:ascii="宋体" w:hAnsi="宋体" w:cs="宋体"/>
          <w:b/>
          <w:bCs/>
          <w:spacing w:val="1"/>
          <w:sz w:val="28"/>
          <w:szCs w:val="28"/>
        </w:rPr>
      </w:pPr>
    </w:p>
    <w:p w14:paraId="5F3DF20E">
      <w:pPr>
        <w:spacing w:before="168" w:line="232" w:lineRule="auto"/>
        <w:jc w:val="center"/>
        <w:outlineLvl w:val="2"/>
        <w:rPr>
          <w:rFonts w:hint="eastAsia" w:ascii="宋体" w:hAnsi="宋体" w:cs="宋体"/>
          <w:b/>
          <w:bCs/>
          <w:spacing w:val="1"/>
          <w:sz w:val="28"/>
          <w:szCs w:val="28"/>
        </w:rPr>
      </w:pPr>
    </w:p>
    <w:p w14:paraId="667BE577">
      <w:pPr>
        <w:spacing w:before="168" w:line="232" w:lineRule="auto"/>
        <w:jc w:val="center"/>
        <w:outlineLvl w:val="2"/>
        <w:rPr>
          <w:rFonts w:hint="eastAsia" w:ascii="宋体" w:hAnsi="宋体" w:cs="宋体"/>
          <w:b/>
          <w:bCs/>
          <w:spacing w:val="1"/>
          <w:sz w:val="28"/>
          <w:szCs w:val="28"/>
        </w:rPr>
      </w:pPr>
    </w:p>
    <w:p w14:paraId="3A1EF307">
      <w:pPr>
        <w:spacing w:before="168" w:line="232" w:lineRule="auto"/>
        <w:jc w:val="center"/>
        <w:outlineLvl w:val="2"/>
        <w:rPr>
          <w:rFonts w:hint="eastAsia" w:ascii="宋体" w:hAnsi="宋体" w:cs="宋体"/>
          <w:b/>
          <w:bCs/>
          <w:spacing w:val="1"/>
          <w:sz w:val="28"/>
          <w:szCs w:val="28"/>
        </w:rPr>
      </w:pPr>
    </w:p>
    <w:p w14:paraId="505E237E">
      <w:pPr>
        <w:spacing w:before="168" w:line="232" w:lineRule="auto"/>
        <w:jc w:val="center"/>
        <w:outlineLvl w:val="2"/>
        <w:rPr>
          <w:rFonts w:hint="eastAsia" w:ascii="宋体" w:hAnsi="宋体" w:cs="宋体"/>
          <w:b/>
          <w:bCs/>
          <w:sz w:val="28"/>
          <w:szCs w:val="28"/>
        </w:rPr>
      </w:pPr>
      <w:r>
        <w:rPr>
          <w:rFonts w:hint="eastAsia" w:ascii="宋体" w:hAnsi="宋体" w:cs="宋体"/>
          <w:b/>
          <w:bCs/>
          <w:spacing w:val="1"/>
          <w:sz w:val="28"/>
          <w:szCs w:val="28"/>
        </w:rPr>
        <w:t>十一</w:t>
      </w:r>
      <w:r>
        <w:rPr>
          <w:rFonts w:ascii="宋体" w:hAnsi="宋体" w:cs="宋体"/>
          <w:b/>
          <w:bCs/>
          <w:spacing w:val="1"/>
          <w:sz w:val="28"/>
          <w:szCs w:val="28"/>
        </w:rPr>
        <w:t>、</w:t>
      </w:r>
      <w:r>
        <w:rPr>
          <w:rFonts w:hint="eastAsia" w:ascii="宋体" w:hAnsi="宋体" w:cs="宋体"/>
          <w:b/>
          <w:bCs/>
          <w:spacing w:val="1"/>
          <w:sz w:val="28"/>
          <w:szCs w:val="28"/>
        </w:rPr>
        <w:t>其他要求</w:t>
      </w:r>
    </w:p>
    <w:p w14:paraId="46846B58">
      <w:pPr>
        <w:spacing w:before="101" w:line="227" w:lineRule="auto"/>
        <w:jc w:val="left"/>
        <w:outlineLvl w:val="1"/>
        <w:rPr>
          <w:rFonts w:hint="eastAsia" w:ascii="黑体" w:hAnsi="黑体" w:eastAsia="黑体" w:cs="黑体"/>
          <w:spacing w:val="12"/>
          <w:sz w:val="24"/>
          <w:szCs w:val="24"/>
        </w:rPr>
      </w:pPr>
      <w:r>
        <w:rPr>
          <w:rFonts w:hint="eastAsia" w:ascii="宋体" w:hAnsi="宋体" w:cs="宋体"/>
          <w:sz w:val="24"/>
          <w:szCs w:val="24"/>
        </w:rPr>
        <w:t>与采购人存在利害关系可能影响招标公正性的法人、其他组织或者个人，不得参加投标。单位负责人为同一人或者存在控股、管理关系的不同单位，不得参加同一标段投标或者未划分标段的同一招标项目投标。违反这两款规定的，相关投标应当被否决</w:t>
      </w:r>
      <w:r>
        <w:rPr>
          <w:rFonts w:hint="eastAsia" w:ascii="宋体" w:hAnsi="宋体" w:cs="宋体"/>
          <w:b/>
          <w:sz w:val="24"/>
          <w:szCs w:val="24"/>
          <w:lang w:val="zh-CN"/>
        </w:rPr>
        <w:t>（</w:t>
      </w:r>
      <w:r>
        <w:rPr>
          <w:rFonts w:hint="eastAsia" w:ascii="宋体" w:hAnsi="宋体" w:cs="宋体"/>
          <w:b/>
          <w:bCs/>
          <w:sz w:val="24"/>
          <w:szCs w:val="24"/>
          <w:lang w:val="zh-CN"/>
        </w:rPr>
        <w:t>标书内附法定代表人签字并加盖公章的承诺书</w:t>
      </w:r>
      <w:r>
        <w:rPr>
          <w:rFonts w:hint="eastAsia" w:ascii="宋体" w:hAnsi="宋体" w:cs="宋体"/>
          <w:b/>
          <w:sz w:val="24"/>
          <w:szCs w:val="24"/>
          <w:lang w:val="zh-CN"/>
        </w:rPr>
        <w:t>）</w:t>
      </w:r>
    </w:p>
    <w:p w14:paraId="6116EF40">
      <w:pPr>
        <w:pStyle w:val="20"/>
        <w:ind w:firstLine="640"/>
      </w:pPr>
    </w:p>
    <w:p w14:paraId="47E553C0"/>
    <w:p w14:paraId="43CABD00">
      <w:pPr>
        <w:pStyle w:val="20"/>
        <w:ind w:firstLine="640"/>
      </w:pPr>
    </w:p>
    <w:p w14:paraId="53C17115"/>
    <w:p w14:paraId="3F1C026E">
      <w:pPr>
        <w:pStyle w:val="20"/>
        <w:ind w:firstLine="640"/>
      </w:pPr>
    </w:p>
    <w:p w14:paraId="3095FA99"/>
    <w:p w14:paraId="04BB81BF">
      <w:pPr>
        <w:pStyle w:val="20"/>
        <w:ind w:firstLine="640"/>
      </w:pPr>
    </w:p>
    <w:p w14:paraId="286D3EC6"/>
    <w:p w14:paraId="020E093A">
      <w:pPr>
        <w:pStyle w:val="20"/>
        <w:ind w:firstLine="640"/>
      </w:pPr>
    </w:p>
    <w:p w14:paraId="6F849AA2"/>
    <w:p w14:paraId="4D2D2B45">
      <w:pPr>
        <w:pStyle w:val="20"/>
        <w:ind w:firstLine="640"/>
      </w:pPr>
    </w:p>
    <w:p w14:paraId="58E1CE8E"/>
    <w:p w14:paraId="69BE0B47">
      <w:pPr>
        <w:pStyle w:val="20"/>
        <w:ind w:firstLine="640"/>
      </w:pPr>
    </w:p>
    <w:p w14:paraId="3AC3A000"/>
    <w:p w14:paraId="7DDDE77A">
      <w:pPr>
        <w:pStyle w:val="20"/>
        <w:ind w:firstLine="640"/>
      </w:pPr>
    </w:p>
    <w:p w14:paraId="45063E76"/>
    <w:p w14:paraId="1B971A8C">
      <w:pPr>
        <w:pStyle w:val="20"/>
        <w:ind w:firstLine="640"/>
      </w:pPr>
    </w:p>
    <w:p w14:paraId="0EE232FF"/>
    <w:p w14:paraId="16CB14B7">
      <w:pPr>
        <w:pStyle w:val="20"/>
        <w:ind w:firstLine="640"/>
      </w:pPr>
    </w:p>
    <w:p w14:paraId="07E66D2D"/>
    <w:p w14:paraId="2DF70FC5">
      <w:pPr>
        <w:pStyle w:val="20"/>
        <w:ind w:firstLine="640"/>
      </w:pPr>
    </w:p>
    <w:p w14:paraId="7A24C9C9"/>
    <w:p w14:paraId="705E2053">
      <w:pPr>
        <w:pStyle w:val="20"/>
        <w:ind w:firstLine="640"/>
      </w:pPr>
    </w:p>
    <w:p w14:paraId="660AF72D"/>
    <w:p w14:paraId="4DB97042">
      <w:pPr>
        <w:pStyle w:val="20"/>
        <w:ind w:firstLine="640"/>
      </w:pPr>
    </w:p>
    <w:p w14:paraId="5E1477EE"/>
    <w:p w14:paraId="5249CB23">
      <w:pPr>
        <w:pStyle w:val="20"/>
        <w:ind w:firstLine="640"/>
      </w:pPr>
    </w:p>
    <w:p w14:paraId="7402EA35"/>
    <w:p w14:paraId="2EDFF40F">
      <w:pPr>
        <w:pStyle w:val="20"/>
        <w:ind w:firstLine="640"/>
      </w:pPr>
    </w:p>
    <w:p w14:paraId="60A2A037"/>
    <w:p w14:paraId="59E943BB"/>
    <w:p w14:paraId="64D85065">
      <w:pPr>
        <w:spacing w:before="101" w:line="227" w:lineRule="auto"/>
        <w:jc w:val="center"/>
        <w:outlineLvl w:val="1"/>
        <w:rPr>
          <w:rFonts w:hint="eastAsia" w:ascii="黑体" w:hAnsi="黑体" w:eastAsia="黑体" w:cs="黑体"/>
          <w:sz w:val="31"/>
          <w:szCs w:val="31"/>
        </w:rPr>
      </w:pPr>
      <w:r>
        <w:rPr>
          <w:rFonts w:ascii="黑体" w:hAnsi="黑体" w:eastAsia="黑体" w:cs="黑体"/>
          <w:spacing w:val="12"/>
          <w:sz w:val="31"/>
          <w:szCs w:val="31"/>
          <w14:textOutline w14:w="5791" w14:cap="sq" w14:cmpd="sng" w14:algn="ctr">
            <w14:solidFill>
              <w14:srgbClr w14:val="000000"/>
            </w14:solidFill>
            <w14:prstDash w14:val="solid"/>
            <w14:bevel/>
          </w14:textOutline>
        </w:rPr>
        <w:t>第</w:t>
      </w:r>
      <w:r>
        <w:rPr>
          <w:rFonts w:ascii="黑体" w:hAnsi="黑体" w:eastAsia="黑体" w:cs="黑体"/>
          <w:spacing w:val="10"/>
          <w:sz w:val="31"/>
          <w:szCs w:val="31"/>
          <w14:textOutline w14:w="5791" w14:cap="sq" w14:cmpd="sng" w14:algn="ctr">
            <w14:solidFill>
              <w14:srgbClr w14:val="000000"/>
            </w14:solidFill>
            <w14:prstDash w14:val="solid"/>
            <w14:bevel/>
          </w14:textOutline>
        </w:rPr>
        <w:t>二部分、</w:t>
      </w:r>
      <w:r>
        <w:rPr>
          <w:rFonts w:hint="eastAsia" w:ascii="黑体" w:hAnsi="黑体" w:eastAsia="黑体" w:cs="黑体"/>
          <w:spacing w:val="10"/>
          <w:sz w:val="31"/>
          <w:szCs w:val="31"/>
          <w14:textOutline w14:w="5791" w14:cap="sq" w14:cmpd="sng" w14:algn="ctr">
            <w14:solidFill>
              <w14:srgbClr w14:val="000000"/>
            </w14:solidFill>
            <w14:prstDash w14:val="solid"/>
            <w14:bevel/>
          </w14:textOutline>
        </w:rPr>
        <w:t>商务</w:t>
      </w:r>
      <w:r>
        <w:rPr>
          <w:rFonts w:ascii="黑体" w:hAnsi="黑体" w:eastAsia="黑体" w:cs="黑体"/>
          <w:spacing w:val="10"/>
          <w:sz w:val="31"/>
          <w:szCs w:val="31"/>
          <w14:textOutline w14:w="5791" w14:cap="sq" w14:cmpd="sng" w14:algn="ctr">
            <w14:solidFill>
              <w14:srgbClr w14:val="000000"/>
            </w14:solidFill>
            <w14:prstDash w14:val="solid"/>
            <w14:bevel/>
          </w14:textOutline>
        </w:rPr>
        <w:t>和</w:t>
      </w:r>
      <w:r>
        <w:rPr>
          <w:rFonts w:hint="eastAsia" w:ascii="黑体" w:hAnsi="黑体" w:eastAsia="黑体" w:cs="黑体"/>
          <w:spacing w:val="10"/>
          <w:sz w:val="31"/>
          <w:szCs w:val="31"/>
          <w14:textOutline w14:w="5791" w14:cap="sq" w14:cmpd="sng" w14:algn="ctr">
            <w14:solidFill>
              <w14:srgbClr w14:val="000000"/>
            </w14:solidFill>
            <w14:prstDash w14:val="solid"/>
            <w14:bevel/>
          </w14:textOutline>
        </w:rPr>
        <w:t>技术</w:t>
      </w:r>
      <w:r>
        <w:rPr>
          <w:rFonts w:ascii="黑体" w:hAnsi="黑体" w:eastAsia="黑体" w:cs="黑体"/>
          <w:spacing w:val="10"/>
          <w:sz w:val="31"/>
          <w:szCs w:val="31"/>
          <w14:textOutline w14:w="5791" w14:cap="sq" w14:cmpd="sng" w14:algn="ctr">
            <w14:solidFill>
              <w14:srgbClr w14:val="000000"/>
            </w14:solidFill>
            <w14:prstDash w14:val="solid"/>
            <w14:bevel/>
          </w14:textOutline>
        </w:rPr>
        <w:t>文件部分</w:t>
      </w:r>
    </w:p>
    <w:p w14:paraId="59912F5F">
      <w:pPr>
        <w:autoSpaceDE w:val="0"/>
        <w:autoSpaceDN w:val="0"/>
        <w:adjustRightInd w:val="0"/>
        <w:jc w:val="center"/>
        <w:rPr>
          <w:rFonts w:hint="eastAsia" w:ascii="宋体" w:hAnsi="宋体" w:cs="宋体"/>
          <w:b/>
          <w:bCs/>
          <w:color w:val="000000"/>
          <w:sz w:val="28"/>
          <w:szCs w:val="28"/>
          <w:lang w:val="zh-CN"/>
        </w:rPr>
      </w:pPr>
    </w:p>
    <w:p w14:paraId="31D332F1">
      <w:pPr>
        <w:autoSpaceDE w:val="0"/>
        <w:autoSpaceDN w:val="0"/>
        <w:adjustRightInd w:val="0"/>
        <w:jc w:val="center"/>
        <w:rPr>
          <w:rFonts w:hint="eastAsia" w:ascii="宋体" w:hAnsi="宋体" w:cs="宋体"/>
          <w:b/>
          <w:bCs/>
          <w:color w:val="000000"/>
          <w:sz w:val="28"/>
          <w:szCs w:val="28"/>
          <w:lang w:val="zh-CN"/>
        </w:rPr>
      </w:pPr>
    </w:p>
    <w:p w14:paraId="0E5622D1">
      <w:pPr>
        <w:autoSpaceDE w:val="0"/>
        <w:autoSpaceDN w:val="0"/>
        <w:adjustRightInd w:val="0"/>
        <w:jc w:val="center"/>
        <w:rPr>
          <w:rFonts w:hint="eastAsia" w:ascii="宋体" w:hAnsi="宋体" w:cs="宋体"/>
          <w:b/>
          <w:bCs/>
          <w:color w:val="000000"/>
          <w:sz w:val="28"/>
          <w:szCs w:val="28"/>
          <w:lang w:val="zh-CN"/>
        </w:rPr>
      </w:pPr>
    </w:p>
    <w:p w14:paraId="1982688C">
      <w:pPr>
        <w:autoSpaceDE w:val="0"/>
        <w:autoSpaceDN w:val="0"/>
        <w:adjustRightInd w:val="0"/>
        <w:jc w:val="center"/>
        <w:rPr>
          <w:rFonts w:hint="eastAsia" w:ascii="宋体" w:hAnsi="宋体" w:cs="宋体"/>
          <w:b/>
          <w:bCs/>
          <w:color w:val="000000"/>
          <w:sz w:val="28"/>
          <w:szCs w:val="28"/>
          <w:lang w:val="zh-CN"/>
        </w:rPr>
      </w:pPr>
    </w:p>
    <w:p w14:paraId="3AF17450">
      <w:pPr>
        <w:autoSpaceDE w:val="0"/>
        <w:autoSpaceDN w:val="0"/>
        <w:adjustRightInd w:val="0"/>
        <w:jc w:val="center"/>
        <w:rPr>
          <w:rFonts w:hint="eastAsia" w:ascii="宋体" w:hAnsi="宋体" w:cs="宋体"/>
          <w:b/>
          <w:bCs/>
          <w:color w:val="000000"/>
          <w:sz w:val="28"/>
          <w:szCs w:val="28"/>
          <w:lang w:val="zh-CN"/>
        </w:rPr>
      </w:pPr>
    </w:p>
    <w:p w14:paraId="5C07F668">
      <w:pPr>
        <w:autoSpaceDE w:val="0"/>
        <w:autoSpaceDN w:val="0"/>
        <w:adjustRightInd w:val="0"/>
        <w:jc w:val="center"/>
        <w:rPr>
          <w:rFonts w:hint="eastAsia" w:ascii="宋体" w:hAnsi="宋体" w:cs="宋体"/>
          <w:b/>
          <w:bCs/>
          <w:color w:val="000000"/>
          <w:sz w:val="28"/>
          <w:szCs w:val="28"/>
          <w:lang w:val="zh-CN"/>
        </w:rPr>
      </w:pPr>
    </w:p>
    <w:p w14:paraId="3884C95A">
      <w:pPr>
        <w:autoSpaceDE w:val="0"/>
        <w:autoSpaceDN w:val="0"/>
        <w:adjustRightInd w:val="0"/>
        <w:jc w:val="center"/>
        <w:rPr>
          <w:rFonts w:hint="eastAsia" w:ascii="宋体" w:hAnsi="宋体" w:cs="宋体"/>
          <w:b/>
          <w:bCs/>
          <w:color w:val="000000"/>
          <w:sz w:val="28"/>
          <w:szCs w:val="28"/>
          <w:lang w:val="zh-CN"/>
        </w:rPr>
      </w:pPr>
    </w:p>
    <w:p w14:paraId="592D45CE">
      <w:pPr>
        <w:autoSpaceDE w:val="0"/>
        <w:autoSpaceDN w:val="0"/>
        <w:adjustRightInd w:val="0"/>
        <w:jc w:val="center"/>
        <w:rPr>
          <w:rFonts w:hint="eastAsia" w:ascii="宋体" w:hAnsi="宋体" w:cs="宋体"/>
          <w:b/>
          <w:bCs/>
          <w:color w:val="000000"/>
          <w:sz w:val="28"/>
          <w:szCs w:val="28"/>
          <w:lang w:val="zh-CN"/>
        </w:rPr>
      </w:pPr>
    </w:p>
    <w:p w14:paraId="38DBCDF2">
      <w:pPr>
        <w:autoSpaceDE w:val="0"/>
        <w:autoSpaceDN w:val="0"/>
        <w:adjustRightInd w:val="0"/>
        <w:jc w:val="center"/>
        <w:rPr>
          <w:rFonts w:hint="eastAsia" w:ascii="宋体" w:hAnsi="宋体" w:cs="宋体"/>
          <w:b/>
          <w:bCs/>
          <w:color w:val="000000"/>
          <w:sz w:val="28"/>
          <w:szCs w:val="28"/>
          <w:lang w:val="zh-CN"/>
        </w:rPr>
      </w:pPr>
    </w:p>
    <w:p w14:paraId="63789C25">
      <w:pPr>
        <w:autoSpaceDE w:val="0"/>
        <w:autoSpaceDN w:val="0"/>
        <w:adjustRightInd w:val="0"/>
        <w:jc w:val="center"/>
        <w:rPr>
          <w:rFonts w:hint="eastAsia" w:ascii="宋体" w:hAnsi="宋体" w:cs="宋体"/>
          <w:b/>
          <w:bCs/>
          <w:color w:val="000000"/>
          <w:sz w:val="28"/>
          <w:szCs w:val="28"/>
          <w:lang w:val="zh-CN"/>
        </w:rPr>
      </w:pPr>
    </w:p>
    <w:p w14:paraId="250B327A">
      <w:pPr>
        <w:autoSpaceDE w:val="0"/>
        <w:autoSpaceDN w:val="0"/>
        <w:adjustRightInd w:val="0"/>
        <w:jc w:val="center"/>
        <w:rPr>
          <w:rFonts w:hint="eastAsia" w:ascii="宋体" w:hAnsi="宋体" w:cs="宋体"/>
          <w:b/>
          <w:bCs/>
          <w:color w:val="000000"/>
          <w:sz w:val="28"/>
          <w:szCs w:val="28"/>
          <w:lang w:val="zh-CN"/>
        </w:rPr>
      </w:pPr>
    </w:p>
    <w:p w14:paraId="399C2F8A">
      <w:pPr>
        <w:autoSpaceDE w:val="0"/>
        <w:autoSpaceDN w:val="0"/>
        <w:adjustRightInd w:val="0"/>
        <w:jc w:val="center"/>
        <w:rPr>
          <w:rFonts w:hint="eastAsia" w:ascii="宋体" w:hAnsi="宋体" w:cs="宋体"/>
          <w:b/>
          <w:bCs/>
          <w:color w:val="000000"/>
          <w:sz w:val="28"/>
          <w:szCs w:val="28"/>
          <w:lang w:val="zh-CN"/>
        </w:rPr>
      </w:pPr>
    </w:p>
    <w:p w14:paraId="37D883F8">
      <w:pPr>
        <w:autoSpaceDE w:val="0"/>
        <w:autoSpaceDN w:val="0"/>
        <w:adjustRightInd w:val="0"/>
        <w:jc w:val="center"/>
        <w:rPr>
          <w:rFonts w:hint="eastAsia" w:ascii="宋体" w:hAnsi="宋体" w:cs="宋体"/>
          <w:b/>
          <w:bCs/>
          <w:color w:val="000000"/>
          <w:sz w:val="28"/>
          <w:szCs w:val="28"/>
          <w:lang w:val="zh-CN"/>
        </w:rPr>
      </w:pPr>
    </w:p>
    <w:p w14:paraId="084B9BD6">
      <w:pPr>
        <w:autoSpaceDE w:val="0"/>
        <w:autoSpaceDN w:val="0"/>
        <w:adjustRightInd w:val="0"/>
        <w:jc w:val="center"/>
        <w:rPr>
          <w:rFonts w:hint="eastAsia" w:ascii="宋体" w:hAnsi="宋体" w:cs="宋体"/>
          <w:b/>
          <w:bCs/>
          <w:color w:val="000000"/>
          <w:sz w:val="28"/>
          <w:szCs w:val="28"/>
          <w:lang w:val="zh-CN"/>
        </w:rPr>
      </w:pPr>
    </w:p>
    <w:p w14:paraId="57A612F1">
      <w:pPr>
        <w:autoSpaceDE w:val="0"/>
        <w:autoSpaceDN w:val="0"/>
        <w:adjustRightInd w:val="0"/>
        <w:jc w:val="center"/>
        <w:rPr>
          <w:rFonts w:hint="eastAsia" w:ascii="宋体" w:hAnsi="宋体" w:cs="宋体"/>
          <w:b/>
          <w:bCs/>
          <w:color w:val="000000"/>
          <w:sz w:val="28"/>
          <w:szCs w:val="28"/>
          <w:lang w:val="zh-CN"/>
        </w:rPr>
      </w:pPr>
    </w:p>
    <w:p w14:paraId="19319C38">
      <w:pPr>
        <w:spacing w:before="245" w:beforeLines="50" w:after="245" w:afterLines="50" w:line="560" w:lineRule="exact"/>
        <w:jc w:val="center"/>
        <w:rPr>
          <w:rFonts w:hint="eastAsia" w:ascii="宋体" w:hAnsi="宋体" w:cs="宋体"/>
          <w:b/>
          <w:sz w:val="24"/>
          <w:szCs w:val="24"/>
        </w:rPr>
      </w:pPr>
      <w:r>
        <w:rPr>
          <w:rFonts w:hint="eastAsia" w:ascii="宋体" w:hAnsi="宋体" w:cs="宋体"/>
          <w:b/>
          <w:sz w:val="24"/>
          <w:szCs w:val="24"/>
        </w:rPr>
        <w:t>符合性审查索引表</w:t>
      </w:r>
    </w:p>
    <w:p w14:paraId="1F42BCB4">
      <w:pPr>
        <w:spacing w:line="400" w:lineRule="exact"/>
        <w:rPr>
          <w:rFonts w:hint="eastAsia" w:ascii="宋体" w:hAnsi="宋体" w:cs="宋体"/>
          <w:bCs/>
          <w:sz w:val="24"/>
          <w:szCs w:val="24"/>
        </w:rPr>
      </w:pPr>
      <w:r>
        <w:rPr>
          <w:rFonts w:hint="eastAsia" w:ascii="宋体" w:hAnsi="宋体" w:cs="宋体"/>
          <w:bCs/>
          <w:sz w:val="24"/>
          <w:szCs w:val="24"/>
        </w:rPr>
        <w:t>投标供应商务必在商务和技术文件正文前制作本索引表。</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6049"/>
        <w:gridCol w:w="2915"/>
      </w:tblGrid>
      <w:tr w14:paraId="202FB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jc w:val="center"/>
        </w:trPr>
        <w:tc>
          <w:tcPr>
            <w:tcW w:w="501" w:type="pct"/>
            <w:vMerge w:val="restart"/>
            <w:vAlign w:val="center"/>
          </w:tcPr>
          <w:p w14:paraId="5E4E0D3F">
            <w:pPr>
              <w:jc w:val="center"/>
              <w:rPr>
                <w:rFonts w:hint="eastAsia" w:ascii="宋体" w:hAnsi="宋体"/>
                <w:bCs/>
                <w:sz w:val="24"/>
              </w:rPr>
            </w:pPr>
            <w:r>
              <w:rPr>
                <w:rFonts w:hint="eastAsia" w:ascii="宋体" w:hAnsi="宋体"/>
                <w:bCs/>
                <w:sz w:val="24"/>
              </w:rPr>
              <w:t>序号</w:t>
            </w:r>
          </w:p>
        </w:tc>
        <w:tc>
          <w:tcPr>
            <w:tcW w:w="3036" w:type="pct"/>
            <w:vMerge w:val="restart"/>
            <w:vAlign w:val="center"/>
          </w:tcPr>
          <w:p w14:paraId="735F0B24">
            <w:pPr>
              <w:jc w:val="center"/>
              <w:rPr>
                <w:bCs/>
                <w:sz w:val="24"/>
              </w:rPr>
            </w:pPr>
            <w:r>
              <w:rPr>
                <w:rFonts w:hint="eastAsia"/>
                <w:bCs/>
                <w:sz w:val="24"/>
              </w:rPr>
              <w:t>符合性审查项目</w:t>
            </w:r>
          </w:p>
        </w:tc>
        <w:tc>
          <w:tcPr>
            <w:tcW w:w="1463" w:type="pct"/>
            <w:vMerge w:val="restart"/>
            <w:vAlign w:val="center"/>
          </w:tcPr>
          <w:p w14:paraId="203B5B71">
            <w:pPr>
              <w:jc w:val="center"/>
              <w:rPr>
                <w:bCs/>
                <w:sz w:val="24"/>
              </w:rPr>
            </w:pPr>
            <w:r>
              <w:rPr>
                <w:rFonts w:hint="eastAsia"/>
                <w:bCs/>
                <w:sz w:val="24"/>
              </w:rPr>
              <w:t>文件名称</w:t>
            </w:r>
            <w:r>
              <w:rPr>
                <w:rFonts w:hint="eastAsia" w:ascii="宋体" w:hAnsi="宋体"/>
                <w:bCs/>
                <w:sz w:val="24"/>
              </w:rPr>
              <w:t>∕</w:t>
            </w:r>
            <w:r>
              <w:rPr>
                <w:rFonts w:hint="eastAsia"/>
                <w:bCs/>
                <w:sz w:val="24"/>
              </w:rPr>
              <w:t>页码</w:t>
            </w:r>
          </w:p>
        </w:tc>
      </w:tr>
      <w:tr w14:paraId="6A6A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01" w:type="pct"/>
            <w:vMerge w:val="continue"/>
            <w:vAlign w:val="center"/>
          </w:tcPr>
          <w:p w14:paraId="62C5822D">
            <w:pPr>
              <w:jc w:val="center"/>
              <w:rPr>
                <w:rFonts w:hint="eastAsia" w:ascii="宋体" w:hAnsi="宋体"/>
                <w:bCs/>
                <w:sz w:val="24"/>
              </w:rPr>
            </w:pPr>
          </w:p>
        </w:tc>
        <w:tc>
          <w:tcPr>
            <w:tcW w:w="3036" w:type="pct"/>
            <w:vMerge w:val="continue"/>
            <w:vAlign w:val="center"/>
          </w:tcPr>
          <w:p w14:paraId="4E1FE2F8">
            <w:pPr>
              <w:jc w:val="center"/>
              <w:rPr>
                <w:bCs/>
                <w:sz w:val="24"/>
              </w:rPr>
            </w:pPr>
          </w:p>
        </w:tc>
        <w:tc>
          <w:tcPr>
            <w:tcW w:w="1463" w:type="pct"/>
            <w:vMerge w:val="continue"/>
            <w:vAlign w:val="center"/>
          </w:tcPr>
          <w:p w14:paraId="38533024">
            <w:pPr>
              <w:jc w:val="center"/>
              <w:rPr>
                <w:bCs/>
                <w:sz w:val="24"/>
              </w:rPr>
            </w:pPr>
          </w:p>
        </w:tc>
      </w:tr>
      <w:tr w14:paraId="4CCDB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195803F6">
            <w:pPr>
              <w:jc w:val="center"/>
              <w:rPr>
                <w:rFonts w:hint="eastAsia" w:ascii="宋体" w:hAnsi="宋体"/>
                <w:bCs/>
                <w:sz w:val="24"/>
              </w:rPr>
            </w:pPr>
            <w:r>
              <w:rPr>
                <w:rFonts w:ascii="宋体" w:hAnsi="宋体"/>
                <w:bCs/>
                <w:sz w:val="24"/>
              </w:rPr>
              <w:t>1</w:t>
            </w:r>
          </w:p>
        </w:tc>
        <w:tc>
          <w:tcPr>
            <w:tcW w:w="3036" w:type="pct"/>
            <w:vAlign w:val="center"/>
          </w:tcPr>
          <w:p w14:paraId="609CAA8A">
            <w:pPr>
              <w:jc w:val="center"/>
              <w:rPr>
                <w:bCs/>
                <w:sz w:val="24"/>
              </w:rPr>
            </w:pPr>
            <w:r>
              <w:rPr>
                <w:rFonts w:hint="eastAsia" w:ascii="宋体" w:hAnsi="宋体" w:cs="宋体"/>
                <w:bCs/>
                <w:sz w:val="24"/>
                <w:szCs w:val="24"/>
              </w:rPr>
              <w:t>……</w:t>
            </w:r>
          </w:p>
        </w:tc>
        <w:tc>
          <w:tcPr>
            <w:tcW w:w="1463" w:type="pct"/>
            <w:vAlign w:val="center"/>
          </w:tcPr>
          <w:p w14:paraId="7547567B">
            <w:pPr>
              <w:jc w:val="center"/>
              <w:rPr>
                <w:bCs/>
                <w:sz w:val="24"/>
              </w:rPr>
            </w:pPr>
          </w:p>
        </w:tc>
      </w:tr>
      <w:tr w14:paraId="08EE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0A208A32">
            <w:pPr>
              <w:jc w:val="center"/>
              <w:rPr>
                <w:rFonts w:hint="eastAsia" w:ascii="宋体" w:hAnsi="宋体"/>
                <w:bCs/>
                <w:sz w:val="24"/>
              </w:rPr>
            </w:pPr>
            <w:r>
              <w:rPr>
                <w:rFonts w:ascii="宋体" w:hAnsi="宋体"/>
                <w:bCs/>
                <w:sz w:val="24"/>
              </w:rPr>
              <w:t>2</w:t>
            </w:r>
          </w:p>
        </w:tc>
        <w:tc>
          <w:tcPr>
            <w:tcW w:w="3036" w:type="pct"/>
            <w:vAlign w:val="center"/>
          </w:tcPr>
          <w:p w14:paraId="1D626733">
            <w:pPr>
              <w:jc w:val="center"/>
              <w:rPr>
                <w:bCs/>
                <w:sz w:val="24"/>
              </w:rPr>
            </w:pPr>
          </w:p>
        </w:tc>
        <w:tc>
          <w:tcPr>
            <w:tcW w:w="1463" w:type="pct"/>
            <w:vAlign w:val="center"/>
          </w:tcPr>
          <w:p w14:paraId="631DCA7E">
            <w:pPr>
              <w:jc w:val="center"/>
              <w:rPr>
                <w:bCs/>
                <w:sz w:val="24"/>
              </w:rPr>
            </w:pPr>
          </w:p>
        </w:tc>
      </w:tr>
      <w:tr w14:paraId="0EBE5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376AC2BA">
            <w:pPr>
              <w:jc w:val="center"/>
              <w:rPr>
                <w:rFonts w:hint="eastAsia" w:ascii="宋体" w:hAnsi="宋体"/>
                <w:bCs/>
                <w:sz w:val="24"/>
              </w:rPr>
            </w:pPr>
            <w:r>
              <w:rPr>
                <w:rFonts w:ascii="宋体" w:hAnsi="宋体"/>
                <w:bCs/>
                <w:sz w:val="24"/>
              </w:rPr>
              <w:t>3</w:t>
            </w:r>
          </w:p>
        </w:tc>
        <w:tc>
          <w:tcPr>
            <w:tcW w:w="3036" w:type="pct"/>
            <w:vAlign w:val="center"/>
          </w:tcPr>
          <w:p w14:paraId="15BD26E6">
            <w:pPr>
              <w:jc w:val="center"/>
              <w:rPr>
                <w:bCs/>
                <w:sz w:val="24"/>
              </w:rPr>
            </w:pPr>
          </w:p>
        </w:tc>
        <w:tc>
          <w:tcPr>
            <w:tcW w:w="1463" w:type="pct"/>
            <w:vAlign w:val="center"/>
          </w:tcPr>
          <w:p w14:paraId="148A0A6B">
            <w:pPr>
              <w:jc w:val="center"/>
              <w:rPr>
                <w:bCs/>
                <w:sz w:val="24"/>
              </w:rPr>
            </w:pPr>
          </w:p>
        </w:tc>
      </w:tr>
      <w:tr w14:paraId="1C160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37CBF2CA">
            <w:pPr>
              <w:jc w:val="center"/>
              <w:rPr>
                <w:rFonts w:hint="eastAsia" w:ascii="宋体" w:hAnsi="宋体"/>
                <w:bCs/>
                <w:sz w:val="24"/>
              </w:rPr>
            </w:pPr>
            <w:r>
              <w:rPr>
                <w:rFonts w:ascii="宋体" w:hAnsi="宋体"/>
                <w:bCs/>
                <w:sz w:val="24"/>
              </w:rPr>
              <w:t xml:space="preserve">4   </w:t>
            </w:r>
          </w:p>
        </w:tc>
        <w:tc>
          <w:tcPr>
            <w:tcW w:w="3036" w:type="pct"/>
            <w:vAlign w:val="center"/>
          </w:tcPr>
          <w:p w14:paraId="262E07CD">
            <w:pPr>
              <w:jc w:val="center"/>
              <w:rPr>
                <w:bCs/>
                <w:sz w:val="24"/>
              </w:rPr>
            </w:pPr>
          </w:p>
        </w:tc>
        <w:tc>
          <w:tcPr>
            <w:tcW w:w="1463" w:type="pct"/>
            <w:vAlign w:val="center"/>
          </w:tcPr>
          <w:p w14:paraId="4EEE03D6">
            <w:pPr>
              <w:jc w:val="center"/>
              <w:rPr>
                <w:bCs/>
                <w:sz w:val="24"/>
              </w:rPr>
            </w:pPr>
          </w:p>
        </w:tc>
      </w:tr>
      <w:tr w14:paraId="61E2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1398FDDD">
            <w:pPr>
              <w:jc w:val="center"/>
              <w:rPr>
                <w:bCs/>
                <w:sz w:val="24"/>
              </w:rPr>
            </w:pPr>
            <w:r>
              <w:rPr>
                <w:rFonts w:hint="eastAsia"/>
                <w:bCs/>
                <w:sz w:val="24"/>
              </w:rPr>
              <w:t>……</w:t>
            </w:r>
          </w:p>
        </w:tc>
        <w:tc>
          <w:tcPr>
            <w:tcW w:w="3036" w:type="pct"/>
            <w:vAlign w:val="center"/>
          </w:tcPr>
          <w:p w14:paraId="6F4FC938">
            <w:pPr>
              <w:jc w:val="center"/>
              <w:rPr>
                <w:bCs/>
                <w:sz w:val="24"/>
              </w:rPr>
            </w:pPr>
          </w:p>
        </w:tc>
        <w:tc>
          <w:tcPr>
            <w:tcW w:w="1463" w:type="pct"/>
            <w:vAlign w:val="center"/>
          </w:tcPr>
          <w:p w14:paraId="62E7638D">
            <w:pPr>
              <w:jc w:val="center"/>
              <w:rPr>
                <w:bCs/>
                <w:sz w:val="24"/>
              </w:rPr>
            </w:pPr>
          </w:p>
        </w:tc>
      </w:tr>
      <w:tr w14:paraId="0EEF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5BE89069">
            <w:pPr>
              <w:jc w:val="center"/>
              <w:rPr>
                <w:bCs/>
                <w:sz w:val="24"/>
              </w:rPr>
            </w:pPr>
          </w:p>
        </w:tc>
        <w:tc>
          <w:tcPr>
            <w:tcW w:w="3036" w:type="pct"/>
            <w:vAlign w:val="center"/>
          </w:tcPr>
          <w:p w14:paraId="03F90502">
            <w:pPr>
              <w:jc w:val="center"/>
              <w:rPr>
                <w:bCs/>
                <w:sz w:val="24"/>
              </w:rPr>
            </w:pPr>
          </w:p>
        </w:tc>
        <w:tc>
          <w:tcPr>
            <w:tcW w:w="1463" w:type="pct"/>
            <w:vAlign w:val="center"/>
          </w:tcPr>
          <w:p w14:paraId="0341D0AF">
            <w:pPr>
              <w:jc w:val="center"/>
              <w:rPr>
                <w:bCs/>
                <w:sz w:val="24"/>
              </w:rPr>
            </w:pPr>
          </w:p>
        </w:tc>
      </w:tr>
      <w:tr w14:paraId="5FE9F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11D44D79">
            <w:pPr>
              <w:jc w:val="center"/>
              <w:rPr>
                <w:bCs/>
                <w:sz w:val="24"/>
              </w:rPr>
            </w:pPr>
          </w:p>
        </w:tc>
        <w:tc>
          <w:tcPr>
            <w:tcW w:w="3036" w:type="pct"/>
            <w:vAlign w:val="center"/>
          </w:tcPr>
          <w:p w14:paraId="18ACD734">
            <w:pPr>
              <w:jc w:val="center"/>
              <w:rPr>
                <w:bCs/>
                <w:sz w:val="24"/>
              </w:rPr>
            </w:pPr>
          </w:p>
        </w:tc>
        <w:tc>
          <w:tcPr>
            <w:tcW w:w="1463" w:type="pct"/>
            <w:vAlign w:val="center"/>
          </w:tcPr>
          <w:p w14:paraId="39C89ADE">
            <w:pPr>
              <w:jc w:val="center"/>
              <w:rPr>
                <w:bCs/>
                <w:sz w:val="24"/>
              </w:rPr>
            </w:pPr>
          </w:p>
        </w:tc>
      </w:tr>
      <w:tr w14:paraId="70943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501" w:type="pct"/>
            <w:vAlign w:val="center"/>
          </w:tcPr>
          <w:p w14:paraId="2E31A37E">
            <w:pPr>
              <w:jc w:val="center"/>
              <w:rPr>
                <w:bCs/>
                <w:sz w:val="24"/>
              </w:rPr>
            </w:pPr>
          </w:p>
        </w:tc>
        <w:tc>
          <w:tcPr>
            <w:tcW w:w="3036" w:type="pct"/>
            <w:vAlign w:val="center"/>
          </w:tcPr>
          <w:p w14:paraId="4159EE7E">
            <w:pPr>
              <w:jc w:val="center"/>
              <w:rPr>
                <w:bCs/>
                <w:sz w:val="24"/>
              </w:rPr>
            </w:pPr>
          </w:p>
        </w:tc>
        <w:tc>
          <w:tcPr>
            <w:tcW w:w="1463" w:type="pct"/>
            <w:vAlign w:val="center"/>
          </w:tcPr>
          <w:p w14:paraId="321F29D2">
            <w:pPr>
              <w:jc w:val="center"/>
              <w:rPr>
                <w:bCs/>
                <w:sz w:val="24"/>
              </w:rPr>
            </w:pPr>
          </w:p>
        </w:tc>
      </w:tr>
      <w:tr w14:paraId="5056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exact"/>
          <w:jc w:val="center"/>
        </w:trPr>
        <w:tc>
          <w:tcPr>
            <w:tcW w:w="5000" w:type="pct"/>
            <w:gridSpan w:val="3"/>
            <w:vAlign w:val="center"/>
          </w:tcPr>
          <w:p w14:paraId="007B6585">
            <w:pPr>
              <w:rPr>
                <w:rFonts w:hint="eastAsia" w:ascii="宋体" w:hAnsi="宋体" w:cs="宋体"/>
                <w:sz w:val="24"/>
                <w:szCs w:val="24"/>
              </w:rPr>
            </w:pPr>
            <w:r>
              <w:rPr>
                <w:rFonts w:hint="eastAsia" w:ascii="宋体" w:hAnsi="宋体" w:cs="宋体"/>
                <w:sz w:val="24"/>
                <w:szCs w:val="24"/>
              </w:rPr>
              <w:t>备注：</w:t>
            </w:r>
          </w:p>
          <w:p w14:paraId="18F246A8">
            <w:pPr>
              <w:rPr>
                <w:rFonts w:hint="eastAsia" w:ascii="宋体" w:hAnsi="宋体" w:cs="宋体"/>
                <w:sz w:val="24"/>
                <w:szCs w:val="24"/>
              </w:rPr>
            </w:pPr>
            <w:r>
              <w:rPr>
                <w:rFonts w:hint="eastAsia" w:ascii="宋体" w:hAnsi="宋体" w:cs="宋体"/>
                <w:sz w:val="24"/>
                <w:szCs w:val="24"/>
              </w:rPr>
              <w:t>1.投标供应商按照《符合性审查表》编制此表。</w:t>
            </w:r>
          </w:p>
          <w:p w14:paraId="218D5C5F">
            <w:pPr>
              <w:rPr>
                <w:rFonts w:hint="eastAsia" w:ascii="宋体" w:hAnsi="宋体" w:cs="宋体"/>
                <w:sz w:val="24"/>
                <w:szCs w:val="24"/>
              </w:rPr>
            </w:pPr>
            <w:r>
              <w:rPr>
                <w:rFonts w:hint="eastAsia" w:ascii="宋体" w:hAnsi="宋体" w:cs="宋体"/>
                <w:sz w:val="24"/>
                <w:szCs w:val="24"/>
              </w:rPr>
              <w:t>2.投标供应商应当根据本单位实际情况和投标文件内容填写，并标注相关证明材料在资格证明文件的位置页码。</w:t>
            </w:r>
          </w:p>
          <w:p w14:paraId="471D7679">
            <w:pPr>
              <w:rPr>
                <w:bCs/>
                <w:sz w:val="24"/>
              </w:rPr>
            </w:pPr>
            <w:r>
              <w:rPr>
                <w:rFonts w:hint="eastAsia" w:ascii="宋体" w:hAnsi="宋体" w:cs="宋体"/>
                <w:sz w:val="24"/>
                <w:szCs w:val="24"/>
              </w:rPr>
              <w:t>3.投标供应商不得虚报、瞒报、漏报或虚假承诺。</w:t>
            </w:r>
          </w:p>
        </w:tc>
      </w:tr>
    </w:tbl>
    <w:p w14:paraId="31C9C7D5">
      <w:pPr>
        <w:autoSpaceDE w:val="0"/>
        <w:autoSpaceDN w:val="0"/>
        <w:adjustRightInd w:val="0"/>
        <w:jc w:val="center"/>
        <w:rPr>
          <w:rFonts w:hint="eastAsia" w:ascii="宋体" w:hAnsi="宋体" w:cs="宋体"/>
          <w:b/>
          <w:bCs/>
          <w:color w:val="000000"/>
          <w:sz w:val="28"/>
          <w:szCs w:val="28"/>
          <w:lang w:val="zh-CN"/>
        </w:rPr>
      </w:pPr>
    </w:p>
    <w:p w14:paraId="2503FF49">
      <w:pPr>
        <w:autoSpaceDE w:val="0"/>
        <w:autoSpaceDN w:val="0"/>
        <w:adjustRightInd w:val="0"/>
        <w:jc w:val="center"/>
        <w:rPr>
          <w:rFonts w:hint="eastAsia" w:ascii="宋体" w:hAnsi="宋体" w:cs="宋体"/>
          <w:b/>
          <w:bCs/>
          <w:color w:val="000000"/>
          <w:sz w:val="28"/>
          <w:szCs w:val="28"/>
          <w:lang w:val="zh-CN"/>
        </w:rPr>
      </w:pPr>
    </w:p>
    <w:p w14:paraId="2565633F">
      <w:pPr>
        <w:autoSpaceDE w:val="0"/>
        <w:autoSpaceDN w:val="0"/>
        <w:adjustRightInd w:val="0"/>
        <w:jc w:val="center"/>
        <w:rPr>
          <w:rFonts w:hint="eastAsia" w:ascii="宋体" w:hAnsi="宋体" w:cs="宋体"/>
          <w:b/>
          <w:bCs/>
          <w:color w:val="000000"/>
          <w:sz w:val="28"/>
          <w:szCs w:val="28"/>
          <w:lang w:val="zh-CN"/>
        </w:rPr>
      </w:pPr>
    </w:p>
    <w:p w14:paraId="3D9D258E">
      <w:pPr>
        <w:autoSpaceDE w:val="0"/>
        <w:autoSpaceDN w:val="0"/>
        <w:adjustRightInd w:val="0"/>
        <w:jc w:val="center"/>
        <w:rPr>
          <w:rFonts w:hint="eastAsia" w:ascii="宋体" w:hAnsi="宋体" w:cs="宋体"/>
          <w:b/>
          <w:bCs/>
          <w:color w:val="000000"/>
          <w:sz w:val="28"/>
          <w:szCs w:val="28"/>
          <w:lang w:val="zh-CN"/>
        </w:rPr>
      </w:pPr>
    </w:p>
    <w:p w14:paraId="50B67EDE">
      <w:pPr>
        <w:spacing w:before="245" w:beforeLines="50" w:after="245" w:afterLines="50" w:line="560" w:lineRule="exact"/>
        <w:jc w:val="center"/>
        <w:rPr>
          <w:rFonts w:hint="eastAsia" w:ascii="宋体" w:hAnsi="宋体" w:cs="宋体"/>
          <w:b/>
          <w:sz w:val="24"/>
          <w:szCs w:val="24"/>
        </w:rPr>
      </w:pPr>
      <w:r>
        <w:rPr>
          <w:rFonts w:hint="eastAsia" w:ascii="宋体" w:hAnsi="宋体" w:cs="宋体"/>
          <w:b/>
          <w:sz w:val="24"/>
          <w:szCs w:val="24"/>
        </w:rPr>
        <w:t>商务和技术评审索引表</w:t>
      </w:r>
    </w:p>
    <w:p w14:paraId="042DF307">
      <w:pPr>
        <w:spacing w:line="400" w:lineRule="exact"/>
        <w:rPr>
          <w:rFonts w:hint="eastAsia" w:ascii="宋体" w:hAnsi="宋体" w:cs="宋体"/>
          <w:bCs/>
          <w:sz w:val="24"/>
          <w:szCs w:val="24"/>
        </w:rPr>
      </w:pPr>
      <w:r>
        <w:rPr>
          <w:rFonts w:hint="eastAsia" w:ascii="宋体" w:hAnsi="宋体" w:cs="宋体"/>
          <w:bCs/>
          <w:sz w:val="24"/>
          <w:szCs w:val="24"/>
        </w:rPr>
        <w:t>投标供应商务必在商务和技术文件正文前制作本索引表。</w:t>
      </w:r>
    </w:p>
    <w:tbl>
      <w:tblPr>
        <w:tblStyle w:val="21"/>
        <w:tblW w:w="4982" w:type="pct"/>
        <w:jc w:val="center"/>
        <w:tblLayout w:type="autofit"/>
        <w:tblCellMar>
          <w:top w:w="0" w:type="dxa"/>
          <w:left w:w="108" w:type="dxa"/>
          <w:bottom w:w="0" w:type="dxa"/>
          <w:right w:w="108" w:type="dxa"/>
        </w:tblCellMar>
      </w:tblPr>
      <w:tblGrid>
        <w:gridCol w:w="1380"/>
        <w:gridCol w:w="6519"/>
        <w:gridCol w:w="2027"/>
      </w:tblGrid>
      <w:tr w14:paraId="0CC03948">
        <w:tblPrEx>
          <w:tblCellMar>
            <w:top w:w="0" w:type="dxa"/>
            <w:left w:w="108" w:type="dxa"/>
            <w:bottom w:w="0" w:type="dxa"/>
            <w:right w:w="108" w:type="dxa"/>
          </w:tblCellMar>
        </w:tblPrEx>
        <w:trPr>
          <w:trHeight w:val="68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71D107FD">
            <w:pPr>
              <w:jc w:val="center"/>
              <w:rPr>
                <w:rFonts w:hint="eastAsia" w:ascii="宋体" w:hAnsi="宋体" w:cs="宋体"/>
                <w:bCs/>
                <w:sz w:val="24"/>
                <w:szCs w:val="24"/>
              </w:rPr>
            </w:pPr>
            <w:r>
              <w:rPr>
                <w:rFonts w:hint="eastAsia" w:ascii="宋体" w:hAnsi="宋体" w:cs="宋体"/>
                <w:bCs/>
                <w:sz w:val="24"/>
                <w:szCs w:val="24"/>
              </w:rPr>
              <w:t>序号</w:t>
            </w:r>
          </w:p>
        </w:tc>
        <w:tc>
          <w:tcPr>
            <w:tcW w:w="3284" w:type="pct"/>
            <w:tcBorders>
              <w:top w:val="single" w:color="auto" w:sz="4" w:space="0"/>
              <w:left w:val="nil"/>
              <w:bottom w:val="single" w:color="auto" w:sz="4" w:space="0"/>
              <w:right w:val="single" w:color="auto" w:sz="4" w:space="0"/>
            </w:tcBorders>
            <w:vAlign w:val="center"/>
          </w:tcPr>
          <w:p w14:paraId="7B2C7ACE">
            <w:pPr>
              <w:jc w:val="center"/>
              <w:rPr>
                <w:rFonts w:hint="eastAsia" w:ascii="宋体" w:hAnsi="宋体" w:cs="宋体"/>
                <w:bCs/>
                <w:sz w:val="24"/>
                <w:szCs w:val="24"/>
              </w:rPr>
            </w:pPr>
            <w:r>
              <w:rPr>
                <w:rFonts w:hint="eastAsia" w:ascii="宋体" w:hAnsi="宋体" w:cs="宋体"/>
                <w:bCs/>
                <w:sz w:val="24"/>
                <w:szCs w:val="24"/>
              </w:rPr>
              <w:t>评审项目</w:t>
            </w:r>
          </w:p>
        </w:tc>
        <w:tc>
          <w:tcPr>
            <w:tcW w:w="1020" w:type="pct"/>
            <w:tcBorders>
              <w:top w:val="single" w:color="auto" w:sz="4" w:space="0"/>
              <w:left w:val="nil"/>
              <w:bottom w:val="single" w:color="auto" w:sz="4" w:space="0"/>
              <w:right w:val="single" w:color="auto" w:sz="4" w:space="0"/>
            </w:tcBorders>
            <w:vAlign w:val="center"/>
          </w:tcPr>
          <w:p w14:paraId="74702173">
            <w:pPr>
              <w:jc w:val="center"/>
              <w:rPr>
                <w:rFonts w:hint="eastAsia" w:ascii="宋体" w:hAnsi="宋体" w:cs="宋体"/>
                <w:bCs/>
                <w:sz w:val="24"/>
                <w:szCs w:val="24"/>
              </w:rPr>
            </w:pPr>
            <w:r>
              <w:rPr>
                <w:rFonts w:hint="eastAsia" w:ascii="宋体" w:hAnsi="宋体" w:cs="宋体"/>
                <w:bCs/>
                <w:sz w:val="24"/>
                <w:szCs w:val="24"/>
              </w:rPr>
              <w:t>文件名称∕页码</w:t>
            </w:r>
          </w:p>
        </w:tc>
      </w:tr>
      <w:tr w14:paraId="22DF7E4C">
        <w:tblPrEx>
          <w:tblCellMar>
            <w:top w:w="0" w:type="dxa"/>
            <w:left w:w="108" w:type="dxa"/>
            <w:bottom w:w="0" w:type="dxa"/>
            <w:right w:w="108" w:type="dxa"/>
          </w:tblCellMar>
        </w:tblPrEx>
        <w:trPr>
          <w:trHeight w:val="680" w:hRule="atLeast"/>
          <w:jc w:val="center"/>
        </w:trPr>
        <w:tc>
          <w:tcPr>
            <w:tcW w:w="695" w:type="pct"/>
            <w:tcBorders>
              <w:top w:val="nil"/>
              <w:left w:val="single" w:color="auto" w:sz="4" w:space="0"/>
              <w:bottom w:val="single" w:color="auto" w:sz="4" w:space="0"/>
              <w:right w:val="single" w:color="auto" w:sz="4" w:space="0"/>
            </w:tcBorders>
            <w:vAlign w:val="center"/>
          </w:tcPr>
          <w:p w14:paraId="4562466A">
            <w:pPr>
              <w:jc w:val="center"/>
              <w:rPr>
                <w:rFonts w:hint="eastAsia" w:ascii="宋体" w:hAnsi="宋体" w:cs="宋体"/>
                <w:bCs/>
                <w:sz w:val="24"/>
                <w:szCs w:val="24"/>
              </w:rPr>
            </w:pPr>
            <w:r>
              <w:rPr>
                <w:rFonts w:hint="eastAsia" w:ascii="宋体" w:hAnsi="宋体" w:cs="宋体"/>
                <w:bCs/>
                <w:sz w:val="24"/>
                <w:szCs w:val="24"/>
              </w:rPr>
              <w:t>1</w:t>
            </w:r>
          </w:p>
        </w:tc>
        <w:tc>
          <w:tcPr>
            <w:tcW w:w="3284" w:type="pct"/>
            <w:tcBorders>
              <w:top w:val="nil"/>
              <w:left w:val="nil"/>
              <w:bottom w:val="single" w:color="auto" w:sz="4" w:space="0"/>
              <w:right w:val="single" w:color="auto" w:sz="4" w:space="0"/>
            </w:tcBorders>
            <w:vAlign w:val="center"/>
          </w:tcPr>
          <w:p w14:paraId="66342061">
            <w:pPr>
              <w:jc w:val="center"/>
              <w:rPr>
                <w:rFonts w:hint="eastAsia" w:ascii="宋体" w:hAnsi="宋体" w:cs="宋体"/>
                <w:bCs/>
                <w:sz w:val="24"/>
                <w:szCs w:val="24"/>
              </w:rPr>
            </w:pPr>
            <w:r>
              <w:rPr>
                <w:rFonts w:hint="eastAsia" w:ascii="宋体" w:hAnsi="宋体" w:cs="宋体"/>
                <w:bCs/>
                <w:sz w:val="24"/>
                <w:szCs w:val="24"/>
              </w:rPr>
              <w:t>指标1</w:t>
            </w:r>
          </w:p>
        </w:tc>
        <w:tc>
          <w:tcPr>
            <w:tcW w:w="1020" w:type="pct"/>
            <w:tcBorders>
              <w:top w:val="single" w:color="auto" w:sz="4" w:space="0"/>
              <w:left w:val="nil"/>
              <w:bottom w:val="single" w:color="auto" w:sz="4" w:space="0"/>
              <w:right w:val="single" w:color="auto" w:sz="4" w:space="0"/>
            </w:tcBorders>
            <w:vAlign w:val="center"/>
          </w:tcPr>
          <w:p w14:paraId="78CB1B33">
            <w:pPr>
              <w:jc w:val="center"/>
              <w:rPr>
                <w:rFonts w:hint="eastAsia" w:ascii="宋体" w:hAnsi="宋体" w:cs="宋体"/>
                <w:bCs/>
                <w:sz w:val="24"/>
                <w:szCs w:val="24"/>
              </w:rPr>
            </w:pPr>
          </w:p>
        </w:tc>
      </w:tr>
      <w:tr w14:paraId="03CE6637">
        <w:tblPrEx>
          <w:tblCellMar>
            <w:top w:w="0" w:type="dxa"/>
            <w:left w:w="108" w:type="dxa"/>
            <w:bottom w:w="0" w:type="dxa"/>
            <w:right w:w="108" w:type="dxa"/>
          </w:tblCellMar>
        </w:tblPrEx>
        <w:trPr>
          <w:trHeight w:val="680" w:hRule="atLeast"/>
          <w:jc w:val="center"/>
        </w:trPr>
        <w:tc>
          <w:tcPr>
            <w:tcW w:w="695" w:type="pct"/>
            <w:tcBorders>
              <w:top w:val="nil"/>
              <w:left w:val="single" w:color="auto" w:sz="4" w:space="0"/>
              <w:bottom w:val="single" w:color="auto" w:sz="4" w:space="0"/>
              <w:right w:val="single" w:color="auto" w:sz="4" w:space="0"/>
            </w:tcBorders>
            <w:vAlign w:val="center"/>
          </w:tcPr>
          <w:p w14:paraId="72FCEC5E">
            <w:pPr>
              <w:jc w:val="center"/>
              <w:rPr>
                <w:rFonts w:hint="eastAsia" w:ascii="宋体" w:hAnsi="宋体" w:cs="宋体"/>
                <w:bCs/>
                <w:sz w:val="24"/>
                <w:szCs w:val="24"/>
              </w:rPr>
            </w:pPr>
            <w:r>
              <w:rPr>
                <w:rFonts w:hint="eastAsia" w:ascii="宋体" w:hAnsi="宋体" w:cs="宋体"/>
                <w:bCs/>
                <w:sz w:val="24"/>
                <w:szCs w:val="24"/>
              </w:rPr>
              <w:t>2</w:t>
            </w:r>
          </w:p>
        </w:tc>
        <w:tc>
          <w:tcPr>
            <w:tcW w:w="3284" w:type="pct"/>
            <w:tcBorders>
              <w:top w:val="nil"/>
              <w:left w:val="nil"/>
              <w:bottom w:val="single" w:color="auto" w:sz="4" w:space="0"/>
              <w:right w:val="single" w:color="auto" w:sz="4" w:space="0"/>
            </w:tcBorders>
            <w:vAlign w:val="center"/>
          </w:tcPr>
          <w:p w14:paraId="6C04CC47">
            <w:pPr>
              <w:jc w:val="center"/>
              <w:rPr>
                <w:rFonts w:hint="eastAsia" w:ascii="宋体" w:hAnsi="宋体" w:cs="宋体"/>
                <w:bCs/>
                <w:sz w:val="24"/>
                <w:szCs w:val="24"/>
              </w:rPr>
            </w:pPr>
            <w:r>
              <w:rPr>
                <w:rFonts w:hint="eastAsia" w:ascii="宋体" w:hAnsi="宋体" w:cs="宋体"/>
                <w:bCs/>
                <w:sz w:val="24"/>
                <w:szCs w:val="24"/>
              </w:rPr>
              <w:t>指标2</w:t>
            </w:r>
          </w:p>
        </w:tc>
        <w:tc>
          <w:tcPr>
            <w:tcW w:w="1020" w:type="pct"/>
            <w:tcBorders>
              <w:top w:val="single" w:color="auto" w:sz="4" w:space="0"/>
              <w:left w:val="nil"/>
              <w:bottom w:val="single" w:color="auto" w:sz="4" w:space="0"/>
              <w:right w:val="single" w:color="auto" w:sz="4" w:space="0"/>
            </w:tcBorders>
            <w:vAlign w:val="center"/>
          </w:tcPr>
          <w:p w14:paraId="0F1DC2FF">
            <w:pPr>
              <w:jc w:val="center"/>
              <w:rPr>
                <w:rFonts w:hint="eastAsia" w:ascii="宋体" w:hAnsi="宋体" w:cs="宋体"/>
                <w:bCs/>
                <w:sz w:val="24"/>
                <w:szCs w:val="24"/>
              </w:rPr>
            </w:pPr>
          </w:p>
        </w:tc>
      </w:tr>
      <w:tr w14:paraId="49D343B5">
        <w:tblPrEx>
          <w:tblCellMar>
            <w:top w:w="0" w:type="dxa"/>
            <w:left w:w="108" w:type="dxa"/>
            <w:bottom w:w="0" w:type="dxa"/>
            <w:right w:w="108" w:type="dxa"/>
          </w:tblCellMar>
        </w:tblPrEx>
        <w:trPr>
          <w:trHeight w:val="680" w:hRule="atLeast"/>
          <w:jc w:val="center"/>
        </w:trPr>
        <w:tc>
          <w:tcPr>
            <w:tcW w:w="695" w:type="pct"/>
            <w:tcBorders>
              <w:top w:val="nil"/>
              <w:left w:val="single" w:color="auto" w:sz="4" w:space="0"/>
              <w:bottom w:val="single" w:color="auto" w:sz="4" w:space="0"/>
              <w:right w:val="single" w:color="auto" w:sz="4" w:space="0"/>
            </w:tcBorders>
            <w:vAlign w:val="center"/>
          </w:tcPr>
          <w:p w14:paraId="2033FA97">
            <w:pPr>
              <w:jc w:val="center"/>
              <w:rPr>
                <w:rFonts w:hint="eastAsia" w:ascii="宋体" w:hAnsi="宋体" w:cs="宋体"/>
                <w:bCs/>
                <w:sz w:val="24"/>
                <w:szCs w:val="24"/>
              </w:rPr>
            </w:pPr>
            <w:r>
              <w:rPr>
                <w:rFonts w:hint="eastAsia" w:ascii="宋体" w:hAnsi="宋体" w:cs="宋体"/>
                <w:bCs/>
                <w:sz w:val="24"/>
                <w:szCs w:val="24"/>
              </w:rPr>
              <w:t>3</w:t>
            </w:r>
          </w:p>
        </w:tc>
        <w:tc>
          <w:tcPr>
            <w:tcW w:w="3284" w:type="pct"/>
            <w:tcBorders>
              <w:top w:val="nil"/>
              <w:left w:val="nil"/>
              <w:bottom w:val="single" w:color="auto" w:sz="4" w:space="0"/>
              <w:right w:val="single" w:color="auto" w:sz="4" w:space="0"/>
            </w:tcBorders>
            <w:vAlign w:val="center"/>
          </w:tcPr>
          <w:p w14:paraId="05212596">
            <w:pPr>
              <w:jc w:val="center"/>
              <w:rPr>
                <w:rFonts w:hint="eastAsia" w:ascii="宋体" w:hAnsi="宋体" w:cs="宋体"/>
                <w:bCs/>
                <w:sz w:val="24"/>
                <w:szCs w:val="24"/>
              </w:rPr>
            </w:pPr>
            <w:r>
              <w:rPr>
                <w:rFonts w:hint="eastAsia" w:ascii="宋体" w:hAnsi="宋体" w:cs="宋体"/>
                <w:bCs/>
                <w:sz w:val="24"/>
                <w:szCs w:val="24"/>
              </w:rPr>
              <w:t>指标3</w:t>
            </w:r>
          </w:p>
        </w:tc>
        <w:tc>
          <w:tcPr>
            <w:tcW w:w="1020" w:type="pct"/>
            <w:tcBorders>
              <w:top w:val="single" w:color="auto" w:sz="4" w:space="0"/>
              <w:left w:val="nil"/>
              <w:bottom w:val="single" w:color="auto" w:sz="4" w:space="0"/>
              <w:right w:val="single" w:color="auto" w:sz="4" w:space="0"/>
            </w:tcBorders>
            <w:vAlign w:val="center"/>
          </w:tcPr>
          <w:p w14:paraId="63AB9DD8">
            <w:pPr>
              <w:jc w:val="center"/>
              <w:rPr>
                <w:rFonts w:hint="eastAsia" w:ascii="宋体" w:hAnsi="宋体" w:cs="宋体"/>
                <w:bCs/>
                <w:sz w:val="24"/>
                <w:szCs w:val="24"/>
              </w:rPr>
            </w:pPr>
          </w:p>
        </w:tc>
      </w:tr>
      <w:tr w14:paraId="728E5500">
        <w:tblPrEx>
          <w:tblCellMar>
            <w:top w:w="0" w:type="dxa"/>
            <w:left w:w="108" w:type="dxa"/>
            <w:bottom w:w="0" w:type="dxa"/>
            <w:right w:w="108" w:type="dxa"/>
          </w:tblCellMar>
        </w:tblPrEx>
        <w:trPr>
          <w:trHeight w:val="680" w:hRule="atLeast"/>
          <w:jc w:val="center"/>
        </w:trPr>
        <w:tc>
          <w:tcPr>
            <w:tcW w:w="695" w:type="pct"/>
            <w:tcBorders>
              <w:top w:val="nil"/>
              <w:left w:val="single" w:color="auto" w:sz="4" w:space="0"/>
              <w:bottom w:val="single" w:color="auto" w:sz="4" w:space="0"/>
              <w:right w:val="single" w:color="auto" w:sz="4" w:space="0"/>
            </w:tcBorders>
            <w:vAlign w:val="center"/>
          </w:tcPr>
          <w:p w14:paraId="48D9413B">
            <w:pPr>
              <w:jc w:val="center"/>
              <w:rPr>
                <w:rFonts w:hint="eastAsia" w:ascii="宋体" w:hAnsi="宋体" w:cs="宋体"/>
                <w:bCs/>
                <w:sz w:val="24"/>
                <w:szCs w:val="24"/>
              </w:rPr>
            </w:pPr>
            <w:r>
              <w:rPr>
                <w:rFonts w:hint="eastAsia" w:ascii="宋体" w:hAnsi="宋体" w:cs="宋体"/>
                <w:bCs/>
                <w:sz w:val="24"/>
                <w:szCs w:val="24"/>
              </w:rPr>
              <w:t>……</w:t>
            </w:r>
          </w:p>
        </w:tc>
        <w:tc>
          <w:tcPr>
            <w:tcW w:w="3284" w:type="pct"/>
            <w:tcBorders>
              <w:top w:val="nil"/>
              <w:left w:val="nil"/>
              <w:bottom w:val="single" w:color="auto" w:sz="4" w:space="0"/>
              <w:right w:val="single" w:color="auto" w:sz="4" w:space="0"/>
            </w:tcBorders>
            <w:vAlign w:val="center"/>
          </w:tcPr>
          <w:p w14:paraId="51A86367">
            <w:pPr>
              <w:jc w:val="center"/>
              <w:rPr>
                <w:rFonts w:hint="eastAsia" w:ascii="宋体" w:hAnsi="宋体" w:cs="宋体"/>
                <w:bCs/>
                <w:sz w:val="24"/>
                <w:szCs w:val="24"/>
              </w:rPr>
            </w:pPr>
            <w:r>
              <w:rPr>
                <w:rFonts w:hint="eastAsia" w:ascii="宋体" w:hAnsi="宋体" w:cs="宋体"/>
                <w:bCs/>
                <w:sz w:val="24"/>
                <w:szCs w:val="24"/>
              </w:rPr>
              <w:t>……</w:t>
            </w:r>
          </w:p>
        </w:tc>
        <w:tc>
          <w:tcPr>
            <w:tcW w:w="1020" w:type="pct"/>
            <w:tcBorders>
              <w:top w:val="single" w:color="auto" w:sz="4" w:space="0"/>
              <w:left w:val="nil"/>
              <w:bottom w:val="single" w:color="auto" w:sz="4" w:space="0"/>
              <w:right w:val="single" w:color="auto" w:sz="4" w:space="0"/>
            </w:tcBorders>
            <w:vAlign w:val="center"/>
          </w:tcPr>
          <w:p w14:paraId="43FA40A2">
            <w:pPr>
              <w:jc w:val="center"/>
              <w:rPr>
                <w:rFonts w:hint="eastAsia" w:ascii="宋体" w:hAnsi="宋体" w:cs="宋体"/>
                <w:bCs/>
                <w:sz w:val="24"/>
                <w:szCs w:val="24"/>
              </w:rPr>
            </w:pPr>
          </w:p>
        </w:tc>
      </w:tr>
      <w:tr w14:paraId="48A20C6B">
        <w:tblPrEx>
          <w:tblCellMar>
            <w:top w:w="0" w:type="dxa"/>
            <w:left w:w="108" w:type="dxa"/>
            <w:bottom w:w="0" w:type="dxa"/>
            <w:right w:w="108" w:type="dxa"/>
          </w:tblCellMar>
        </w:tblPrEx>
        <w:trPr>
          <w:trHeight w:val="680" w:hRule="atLeast"/>
          <w:jc w:val="center"/>
        </w:trPr>
        <w:tc>
          <w:tcPr>
            <w:tcW w:w="695" w:type="pct"/>
            <w:tcBorders>
              <w:top w:val="nil"/>
              <w:left w:val="single" w:color="auto" w:sz="4" w:space="0"/>
              <w:bottom w:val="single" w:color="auto" w:sz="4" w:space="0"/>
              <w:right w:val="single" w:color="auto" w:sz="4" w:space="0"/>
            </w:tcBorders>
            <w:vAlign w:val="center"/>
          </w:tcPr>
          <w:p w14:paraId="595FCC25">
            <w:pPr>
              <w:jc w:val="center"/>
              <w:rPr>
                <w:rFonts w:hint="eastAsia" w:ascii="宋体" w:hAnsi="宋体" w:cs="宋体"/>
                <w:bCs/>
                <w:sz w:val="24"/>
                <w:szCs w:val="24"/>
              </w:rPr>
            </w:pPr>
          </w:p>
        </w:tc>
        <w:tc>
          <w:tcPr>
            <w:tcW w:w="3284" w:type="pct"/>
            <w:tcBorders>
              <w:top w:val="nil"/>
              <w:left w:val="nil"/>
              <w:bottom w:val="single" w:color="auto" w:sz="4" w:space="0"/>
              <w:right w:val="single" w:color="auto" w:sz="4" w:space="0"/>
            </w:tcBorders>
            <w:vAlign w:val="center"/>
          </w:tcPr>
          <w:p w14:paraId="4B279E0D">
            <w:pPr>
              <w:jc w:val="center"/>
              <w:rPr>
                <w:rFonts w:hint="eastAsia" w:ascii="宋体" w:hAnsi="宋体" w:cs="宋体"/>
                <w:bCs/>
                <w:sz w:val="24"/>
                <w:szCs w:val="24"/>
              </w:rPr>
            </w:pPr>
          </w:p>
        </w:tc>
        <w:tc>
          <w:tcPr>
            <w:tcW w:w="1020" w:type="pct"/>
            <w:tcBorders>
              <w:top w:val="single" w:color="auto" w:sz="4" w:space="0"/>
              <w:left w:val="nil"/>
              <w:bottom w:val="single" w:color="auto" w:sz="4" w:space="0"/>
              <w:right w:val="single" w:color="auto" w:sz="4" w:space="0"/>
            </w:tcBorders>
            <w:vAlign w:val="center"/>
          </w:tcPr>
          <w:p w14:paraId="49E7472B">
            <w:pPr>
              <w:jc w:val="center"/>
              <w:rPr>
                <w:rFonts w:hint="eastAsia" w:ascii="宋体" w:hAnsi="宋体" w:cs="宋体"/>
                <w:bCs/>
                <w:sz w:val="24"/>
                <w:szCs w:val="24"/>
              </w:rPr>
            </w:pPr>
          </w:p>
        </w:tc>
      </w:tr>
      <w:tr w14:paraId="45416397">
        <w:tblPrEx>
          <w:tblCellMar>
            <w:top w:w="0" w:type="dxa"/>
            <w:left w:w="108" w:type="dxa"/>
            <w:bottom w:w="0" w:type="dxa"/>
            <w:right w:w="108" w:type="dxa"/>
          </w:tblCellMar>
        </w:tblPrEx>
        <w:trPr>
          <w:trHeight w:val="680" w:hRule="atLeast"/>
          <w:jc w:val="center"/>
        </w:trPr>
        <w:tc>
          <w:tcPr>
            <w:tcW w:w="695" w:type="pct"/>
            <w:tcBorders>
              <w:top w:val="nil"/>
              <w:left w:val="single" w:color="auto" w:sz="4" w:space="0"/>
              <w:bottom w:val="single" w:color="auto" w:sz="4" w:space="0"/>
              <w:right w:val="single" w:color="auto" w:sz="4" w:space="0"/>
            </w:tcBorders>
            <w:vAlign w:val="center"/>
          </w:tcPr>
          <w:p w14:paraId="0BC34FDF">
            <w:pPr>
              <w:jc w:val="center"/>
              <w:rPr>
                <w:rFonts w:hint="eastAsia" w:ascii="宋体" w:hAnsi="宋体" w:cs="宋体"/>
                <w:bCs/>
                <w:sz w:val="24"/>
                <w:szCs w:val="24"/>
              </w:rPr>
            </w:pPr>
          </w:p>
        </w:tc>
        <w:tc>
          <w:tcPr>
            <w:tcW w:w="3284" w:type="pct"/>
            <w:tcBorders>
              <w:top w:val="nil"/>
              <w:left w:val="nil"/>
              <w:bottom w:val="single" w:color="auto" w:sz="4" w:space="0"/>
              <w:right w:val="single" w:color="auto" w:sz="4" w:space="0"/>
            </w:tcBorders>
            <w:vAlign w:val="center"/>
          </w:tcPr>
          <w:p w14:paraId="5EDBE02C">
            <w:pPr>
              <w:jc w:val="center"/>
              <w:rPr>
                <w:rFonts w:hint="eastAsia" w:ascii="宋体" w:hAnsi="宋体" w:cs="宋体"/>
                <w:bCs/>
                <w:sz w:val="24"/>
                <w:szCs w:val="24"/>
              </w:rPr>
            </w:pPr>
          </w:p>
        </w:tc>
        <w:tc>
          <w:tcPr>
            <w:tcW w:w="1020" w:type="pct"/>
            <w:tcBorders>
              <w:top w:val="single" w:color="auto" w:sz="4" w:space="0"/>
              <w:left w:val="nil"/>
              <w:bottom w:val="single" w:color="auto" w:sz="4" w:space="0"/>
              <w:right w:val="single" w:color="auto" w:sz="4" w:space="0"/>
            </w:tcBorders>
            <w:vAlign w:val="center"/>
          </w:tcPr>
          <w:p w14:paraId="3433E0BC">
            <w:pPr>
              <w:jc w:val="center"/>
              <w:rPr>
                <w:rFonts w:hint="eastAsia" w:ascii="宋体" w:hAnsi="宋体" w:cs="宋体"/>
                <w:bCs/>
                <w:sz w:val="24"/>
                <w:szCs w:val="24"/>
              </w:rPr>
            </w:pPr>
          </w:p>
        </w:tc>
      </w:tr>
      <w:tr w14:paraId="37570B99">
        <w:tblPrEx>
          <w:tblCellMar>
            <w:top w:w="0" w:type="dxa"/>
            <w:left w:w="108" w:type="dxa"/>
            <w:bottom w:w="0" w:type="dxa"/>
            <w:right w:w="108" w:type="dxa"/>
          </w:tblCellMar>
        </w:tblPrEx>
        <w:trPr>
          <w:trHeight w:val="68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789662C8">
            <w:pPr>
              <w:jc w:val="center"/>
              <w:rPr>
                <w:rFonts w:hint="eastAsia" w:ascii="宋体" w:hAnsi="宋体" w:cs="宋体"/>
                <w:bCs/>
                <w:sz w:val="24"/>
                <w:szCs w:val="24"/>
              </w:rPr>
            </w:pPr>
          </w:p>
        </w:tc>
        <w:tc>
          <w:tcPr>
            <w:tcW w:w="3284" w:type="pct"/>
            <w:tcBorders>
              <w:top w:val="single" w:color="auto" w:sz="4" w:space="0"/>
              <w:left w:val="nil"/>
              <w:bottom w:val="single" w:color="auto" w:sz="4" w:space="0"/>
              <w:right w:val="single" w:color="auto" w:sz="4" w:space="0"/>
            </w:tcBorders>
            <w:vAlign w:val="center"/>
          </w:tcPr>
          <w:p w14:paraId="3C588513">
            <w:pPr>
              <w:jc w:val="center"/>
              <w:rPr>
                <w:rFonts w:hint="eastAsia" w:ascii="宋体" w:hAnsi="宋体" w:cs="宋体"/>
                <w:bCs/>
                <w:sz w:val="24"/>
                <w:szCs w:val="24"/>
              </w:rPr>
            </w:pPr>
          </w:p>
        </w:tc>
        <w:tc>
          <w:tcPr>
            <w:tcW w:w="1020" w:type="pct"/>
            <w:tcBorders>
              <w:top w:val="single" w:color="auto" w:sz="4" w:space="0"/>
              <w:left w:val="nil"/>
              <w:bottom w:val="single" w:color="auto" w:sz="4" w:space="0"/>
              <w:right w:val="single" w:color="auto" w:sz="4" w:space="0"/>
            </w:tcBorders>
            <w:vAlign w:val="center"/>
          </w:tcPr>
          <w:p w14:paraId="2AF5EB77">
            <w:pPr>
              <w:jc w:val="center"/>
              <w:rPr>
                <w:rFonts w:hint="eastAsia" w:ascii="宋体" w:hAnsi="宋体" w:cs="宋体"/>
                <w:bCs/>
                <w:sz w:val="24"/>
                <w:szCs w:val="24"/>
              </w:rPr>
            </w:pPr>
          </w:p>
        </w:tc>
      </w:tr>
      <w:tr w14:paraId="75944637">
        <w:tblPrEx>
          <w:tblCellMar>
            <w:top w:w="0" w:type="dxa"/>
            <w:left w:w="108" w:type="dxa"/>
            <w:bottom w:w="0" w:type="dxa"/>
            <w:right w:w="108" w:type="dxa"/>
          </w:tblCellMar>
        </w:tblPrEx>
        <w:trPr>
          <w:trHeight w:val="68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164BE7B">
            <w:pPr>
              <w:jc w:val="center"/>
              <w:rPr>
                <w:rFonts w:hint="eastAsia" w:ascii="宋体" w:hAnsi="宋体" w:cs="宋体"/>
                <w:bCs/>
                <w:sz w:val="24"/>
                <w:szCs w:val="24"/>
              </w:rPr>
            </w:pPr>
          </w:p>
        </w:tc>
        <w:tc>
          <w:tcPr>
            <w:tcW w:w="3284" w:type="pct"/>
            <w:tcBorders>
              <w:top w:val="single" w:color="auto" w:sz="4" w:space="0"/>
              <w:left w:val="nil"/>
              <w:bottom w:val="single" w:color="auto" w:sz="4" w:space="0"/>
              <w:right w:val="single" w:color="auto" w:sz="4" w:space="0"/>
            </w:tcBorders>
            <w:vAlign w:val="center"/>
          </w:tcPr>
          <w:p w14:paraId="30EC3C9E">
            <w:pPr>
              <w:jc w:val="center"/>
              <w:rPr>
                <w:rFonts w:hint="eastAsia" w:ascii="宋体" w:hAnsi="宋体" w:cs="宋体"/>
                <w:bCs/>
                <w:sz w:val="24"/>
                <w:szCs w:val="24"/>
              </w:rPr>
            </w:pPr>
          </w:p>
        </w:tc>
        <w:tc>
          <w:tcPr>
            <w:tcW w:w="1020" w:type="pct"/>
            <w:tcBorders>
              <w:top w:val="single" w:color="auto" w:sz="4" w:space="0"/>
              <w:left w:val="nil"/>
              <w:bottom w:val="single" w:color="auto" w:sz="4" w:space="0"/>
              <w:right w:val="single" w:color="auto" w:sz="4" w:space="0"/>
            </w:tcBorders>
            <w:vAlign w:val="center"/>
          </w:tcPr>
          <w:p w14:paraId="71DE3B42">
            <w:pPr>
              <w:jc w:val="center"/>
              <w:rPr>
                <w:rFonts w:hint="eastAsia" w:ascii="宋体" w:hAnsi="宋体" w:cs="宋体"/>
                <w:bCs/>
                <w:sz w:val="24"/>
                <w:szCs w:val="24"/>
              </w:rPr>
            </w:pPr>
          </w:p>
        </w:tc>
      </w:tr>
      <w:tr w14:paraId="12D138B7">
        <w:tblPrEx>
          <w:tblCellMar>
            <w:top w:w="0" w:type="dxa"/>
            <w:left w:w="108" w:type="dxa"/>
            <w:bottom w:w="0" w:type="dxa"/>
            <w:right w:w="108" w:type="dxa"/>
          </w:tblCellMar>
        </w:tblPrEx>
        <w:trPr>
          <w:trHeight w:val="68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45693E8">
            <w:pPr>
              <w:jc w:val="center"/>
              <w:rPr>
                <w:rFonts w:hint="eastAsia" w:ascii="宋体" w:hAnsi="宋体" w:cs="宋体"/>
                <w:bCs/>
                <w:sz w:val="24"/>
                <w:szCs w:val="24"/>
              </w:rPr>
            </w:pPr>
          </w:p>
        </w:tc>
        <w:tc>
          <w:tcPr>
            <w:tcW w:w="3284" w:type="pct"/>
            <w:tcBorders>
              <w:top w:val="single" w:color="auto" w:sz="4" w:space="0"/>
              <w:left w:val="single" w:color="auto" w:sz="4" w:space="0"/>
              <w:bottom w:val="single" w:color="auto" w:sz="4" w:space="0"/>
              <w:right w:val="single" w:color="auto" w:sz="4" w:space="0"/>
            </w:tcBorders>
            <w:vAlign w:val="center"/>
          </w:tcPr>
          <w:p w14:paraId="187502BA">
            <w:pPr>
              <w:jc w:val="center"/>
              <w:rPr>
                <w:rFonts w:hint="eastAsia" w:ascii="宋体" w:hAnsi="宋体" w:cs="宋体"/>
                <w:bCs/>
                <w:sz w:val="24"/>
                <w:szCs w:val="24"/>
              </w:rPr>
            </w:pPr>
          </w:p>
        </w:tc>
        <w:tc>
          <w:tcPr>
            <w:tcW w:w="1020" w:type="pct"/>
            <w:tcBorders>
              <w:top w:val="single" w:color="auto" w:sz="4" w:space="0"/>
              <w:left w:val="single" w:color="auto" w:sz="4" w:space="0"/>
              <w:bottom w:val="single" w:color="auto" w:sz="4" w:space="0"/>
              <w:right w:val="single" w:color="auto" w:sz="4" w:space="0"/>
            </w:tcBorders>
            <w:vAlign w:val="center"/>
          </w:tcPr>
          <w:p w14:paraId="5BF64C12">
            <w:pPr>
              <w:jc w:val="center"/>
              <w:rPr>
                <w:rFonts w:hint="eastAsia" w:ascii="宋体" w:hAnsi="宋体" w:cs="宋体"/>
                <w:bCs/>
                <w:sz w:val="24"/>
                <w:szCs w:val="24"/>
              </w:rPr>
            </w:pPr>
          </w:p>
        </w:tc>
      </w:tr>
      <w:tr w14:paraId="1DEF9347">
        <w:tblPrEx>
          <w:tblCellMar>
            <w:top w:w="0" w:type="dxa"/>
            <w:left w:w="108" w:type="dxa"/>
            <w:bottom w:w="0" w:type="dxa"/>
            <w:right w:w="108" w:type="dxa"/>
          </w:tblCellMar>
        </w:tblPrEx>
        <w:trPr>
          <w:trHeight w:val="68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7F7986B7">
            <w:pPr>
              <w:jc w:val="center"/>
              <w:rPr>
                <w:rFonts w:hint="eastAsia" w:ascii="宋体" w:hAnsi="宋体" w:cs="宋体"/>
                <w:bCs/>
                <w:sz w:val="24"/>
                <w:szCs w:val="24"/>
              </w:rPr>
            </w:pPr>
          </w:p>
        </w:tc>
        <w:tc>
          <w:tcPr>
            <w:tcW w:w="3284" w:type="pct"/>
            <w:tcBorders>
              <w:top w:val="single" w:color="auto" w:sz="4" w:space="0"/>
              <w:left w:val="single" w:color="auto" w:sz="4" w:space="0"/>
              <w:bottom w:val="single" w:color="auto" w:sz="4" w:space="0"/>
              <w:right w:val="single" w:color="auto" w:sz="4" w:space="0"/>
            </w:tcBorders>
            <w:vAlign w:val="center"/>
          </w:tcPr>
          <w:p w14:paraId="74320A32">
            <w:pPr>
              <w:jc w:val="center"/>
              <w:rPr>
                <w:rFonts w:hint="eastAsia" w:ascii="宋体" w:hAnsi="宋体" w:cs="宋体"/>
                <w:bCs/>
                <w:sz w:val="24"/>
                <w:szCs w:val="24"/>
              </w:rPr>
            </w:pPr>
          </w:p>
        </w:tc>
        <w:tc>
          <w:tcPr>
            <w:tcW w:w="1020" w:type="pct"/>
            <w:tcBorders>
              <w:top w:val="single" w:color="auto" w:sz="4" w:space="0"/>
              <w:left w:val="single" w:color="auto" w:sz="4" w:space="0"/>
              <w:bottom w:val="single" w:color="auto" w:sz="4" w:space="0"/>
              <w:right w:val="single" w:color="auto" w:sz="4" w:space="0"/>
            </w:tcBorders>
            <w:vAlign w:val="center"/>
          </w:tcPr>
          <w:p w14:paraId="3EBE19C6">
            <w:pPr>
              <w:jc w:val="center"/>
              <w:rPr>
                <w:rFonts w:hint="eastAsia" w:ascii="宋体" w:hAnsi="宋体" w:cs="宋体"/>
                <w:bCs/>
                <w:sz w:val="24"/>
                <w:szCs w:val="24"/>
              </w:rPr>
            </w:pPr>
          </w:p>
        </w:tc>
      </w:tr>
      <w:tr w14:paraId="78CAC6BC">
        <w:tblPrEx>
          <w:tblCellMar>
            <w:top w:w="0" w:type="dxa"/>
            <w:left w:w="108" w:type="dxa"/>
            <w:bottom w:w="0" w:type="dxa"/>
            <w:right w:w="108" w:type="dxa"/>
          </w:tblCellMar>
        </w:tblPrEx>
        <w:trPr>
          <w:trHeight w:val="2139"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AF1D62D">
            <w:pPr>
              <w:rPr>
                <w:sz w:val="24"/>
                <w:szCs w:val="24"/>
              </w:rPr>
            </w:pPr>
            <w:r>
              <w:rPr>
                <w:rFonts w:hint="eastAsia"/>
                <w:sz w:val="24"/>
                <w:szCs w:val="24"/>
              </w:rPr>
              <w:t>备注：</w:t>
            </w:r>
          </w:p>
          <w:p w14:paraId="7AB2257B">
            <w:pPr>
              <w:numPr>
                <w:ilvl w:val="0"/>
                <w:numId w:val="9"/>
              </w:numPr>
              <w:jc w:val="left"/>
              <w:rPr>
                <w:sz w:val="24"/>
                <w:szCs w:val="24"/>
              </w:rPr>
            </w:pPr>
            <w:r>
              <w:rPr>
                <w:rFonts w:hint="eastAsia"/>
                <w:sz w:val="24"/>
                <w:szCs w:val="24"/>
              </w:rPr>
              <w:t>投标供应商按照《综合评分明细表》编制此表。</w:t>
            </w:r>
          </w:p>
          <w:p w14:paraId="1F54D52C">
            <w:pPr>
              <w:numPr>
                <w:ilvl w:val="0"/>
                <w:numId w:val="9"/>
              </w:numPr>
              <w:jc w:val="left"/>
              <w:rPr>
                <w:sz w:val="24"/>
                <w:szCs w:val="24"/>
              </w:rPr>
            </w:pPr>
            <w:r>
              <w:rPr>
                <w:rFonts w:hint="eastAsia"/>
                <w:sz w:val="24"/>
                <w:szCs w:val="24"/>
              </w:rPr>
              <w:t>投标供应商应当根据本单位实际情况填写，并标注相关证明材料的位置页码，</w:t>
            </w:r>
          </w:p>
          <w:p w14:paraId="1482CBA2">
            <w:pPr>
              <w:numPr>
                <w:ilvl w:val="0"/>
                <w:numId w:val="9"/>
              </w:numPr>
              <w:jc w:val="left"/>
              <w:rPr>
                <w:rFonts w:eastAsia="黑体"/>
              </w:rPr>
            </w:pPr>
            <w:r>
              <w:rPr>
                <w:rFonts w:hint="eastAsia"/>
                <w:sz w:val="24"/>
                <w:szCs w:val="24"/>
              </w:rPr>
              <w:t>投标供应商不得虚报、瞒报、漏报或虚假承诺。</w:t>
            </w:r>
          </w:p>
        </w:tc>
      </w:tr>
    </w:tbl>
    <w:p w14:paraId="1637260B">
      <w:pPr>
        <w:autoSpaceDE w:val="0"/>
        <w:autoSpaceDN w:val="0"/>
        <w:adjustRightInd w:val="0"/>
        <w:jc w:val="center"/>
        <w:rPr>
          <w:rFonts w:hint="eastAsia" w:ascii="宋体" w:hAnsi="宋体" w:cs="宋体"/>
          <w:b/>
          <w:bCs/>
          <w:color w:val="000000"/>
          <w:sz w:val="28"/>
          <w:szCs w:val="28"/>
          <w:lang w:val="zh-CN"/>
        </w:rPr>
      </w:pPr>
    </w:p>
    <w:p w14:paraId="5CBB1E54">
      <w:pPr>
        <w:autoSpaceDE w:val="0"/>
        <w:autoSpaceDN w:val="0"/>
        <w:adjustRightInd w:val="0"/>
        <w:jc w:val="center"/>
        <w:rPr>
          <w:rFonts w:hint="eastAsia" w:ascii="宋体" w:hAnsi="宋体" w:cs="宋体"/>
          <w:b/>
          <w:bCs/>
          <w:color w:val="000000"/>
          <w:sz w:val="28"/>
          <w:szCs w:val="28"/>
          <w:lang w:val="zh-CN"/>
        </w:rPr>
      </w:pPr>
    </w:p>
    <w:p w14:paraId="11876E69">
      <w:pPr>
        <w:autoSpaceDE w:val="0"/>
        <w:autoSpaceDN w:val="0"/>
        <w:adjustRightInd w:val="0"/>
        <w:jc w:val="center"/>
        <w:rPr>
          <w:rFonts w:hint="eastAsia" w:ascii="宋体" w:hAnsi="宋体" w:cs="宋体"/>
          <w:b/>
          <w:bCs/>
          <w:color w:val="000000"/>
          <w:sz w:val="28"/>
          <w:szCs w:val="28"/>
          <w:lang w:val="zh-CN"/>
        </w:rPr>
      </w:pPr>
    </w:p>
    <w:p w14:paraId="13A36938">
      <w:pPr>
        <w:autoSpaceDE w:val="0"/>
        <w:autoSpaceDN w:val="0"/>
        <w:adjustRightInd w:val="0"/>
        <w:jc w:val="center"/>
        <w:rPr>
          <w:rFonts w:hint="eastAsia" w:ascii="宋体" w:hAnsi="宋体" w:cs="宋体"/>
          <w:b/>
          <w:bCs/>
          <w:color w:val="000000"/>
          <w:sz w:val="28"/>
          <w:szCs w:val="28"/>
          <w:lang w:val="zh-CN"/>
        </w:rPr>
      </w:pPr>
    </w:p>
    <w:p w14:paraId="7F085039">
      <w:pPr>
        <w:autoSpaceDE w:val="0"/>
        <w:autoSpaceDN w:val="0"/>
        <w:adjustRightInd w:val="0"/>
        <w:jc w:val="center"/>
        <w:rPr>
          <w:rFonts w:hint="eastAsia" w:ascii="宋体" w:hAnsi="宋体" w:cs="宋体"/>
          <w:b/>
          <w:bCs/>
          <w:color w:val="000000"/>
          <w:sz w:val="28"/>
          <w:szCs w:val="28"/>
          <w:lang w:val="zh-CN"/>
        </w:rPr>
      </w:pPr>
    </w:p>
    <w:p w14:paraId="7CFA9476">
      <w:pPr>
        <w:autoSpaceDE w:val="0"/>
        <w:autoSpaceDN w:val="0"/>
        <w:adjustRightInd w:val="0"/>
        <w:jc w:val="center"/>
        <w:rPr>
          <w:rFonts w:hint="eastAsia" w:ascii="宋体" w:hAnsi="宋体" w:cs="宋体"/>
          <w:b/>
          <w:bCs/>
          <w:color w:val="000000"/>
          <w:sz w:val="28"/>
          <w:szCs w:val="28"/>
          <w:lang w:val="zh-CN"/>
        </w:rPr>
      </w:pPr>
    </w:p>
    <w:p w14:paraId="341E7984">
      <w:pPr>
        <w:autoSpaceDE w:val="0"/>
        <w:autoSpaceDN w:val="0"/>
        <w:adjustRightInd w:val="0"/>
        <w:jc w:val="center"/>
        <w:rPr>
          <w:rFonts w:hint="eastAsia" w:ascii="宋体" w:hAnsi="宋体" w:cs="宋体"/>
          <w:b/>
          <w:bCs/>
          <w:color w:val="000000"/>
          <w:sz w:val="28"/>
          <w:szCs w:val="28"/>
          <w:lang w:val="zh-CN"/>
        </w:rPr>
      </w:pPr>
      <w:r>
        <w:rPr>
          <w:rFonts w:hint="eastAsia" w:ascii="宋体" w:hAnsi="宋体" w:cs="宋体"/>
          <w:b/>
          <w:bCs/>
          <w:color w:val="000000"/>
          <w:sz w:val="28"/>
          <w:szCs w:val="28"/>
          <w:lang w:val="zh-CN"/>
        </w:rPr>
        <w:t>一、投标函</w:t>
      </w:r>
    </w:p>
    <w:p w14:paraId="1028802B">
      <w:pPr>
        <w:autoSpaceDE w:val="0"/>
        <w:autoSpaceDN w:val="0"/>
        <w:adjustRightInd w:val="0"/>
        <w:rPr>
          <w:rFonts w:hint="eastAsia" w:ascii="宋体" w:hAnsi="宋体" w:cs="宋体"/>
          <w:bCs/>
          <w:color w:val="000000"/>
          <w:szCs w:val="21"/>
          <w:lang w:val="zh-CN"/>
        </w:rPr>
      </w:pPr>
    </w:p>
    <w:p w14:paraId="7CC9A279">
      <w:pPr>
        <w:autoSpaceDE w:val="0"/>
        <w:autoSpaceDN w:val="0"/>
        <w:adjustRightInd w:val="0"/>
        <w:ind w:firstLine="120" w:firstLineChars="50"/>
        <w:rPr>
          <w:rFonts w:hint="eastAsia" w:ascii="宋体" w:hAnsi="宋体" w:cs="宋体"/>
          <w:bCs/>
          <w:color w:val="000000"/>
          <w:sz w:val="24"/>
          <w:szCs w:val="24"/>
          <w:lang w:val="zh-CN"/>
        </w:rPr>
      </w:pPr>
      <w:r>
        <w:rPr>
          <w:rFonts w:hint="eastAsia" w:ascii="宋体" w:hAnsi="宋体" w:cs="宋体"/>
          <w:bCs/>
          <w:color w:val="000000"/>
          <w:sz w:val="24"/>
          <w:szCs w:val="24"/>
          <w:u w:val="single"/>
          <w:lang w:val="zh-CN"/>
        </w:rPr>
        <w:t xml:space="preserve">     （采购人名称）           </w:t>
      </w:r>
      <w:r>
        <w:rPr>
          <w:rFonts w:hint="eastAsia" w:ascii="宋体" w:hAnsi="宋体" w:cs="宋体"/>
          <w:bCs/>
          <w:color w:val="000000"/>
          <w:sz w:val="24"/>
          <w:szCs w:val="24"/>
          <w:lang w:val="zh-CN"/>
        </w:rPr>
        <w:t>：</w:t>
      </w:r>
    </w:p>
    <w:p w14:paraId="5E6AE647">
      <w:pPr>
        <w:autoSpaceDE w:val="0"/>
        <w:autoSpaceDN w:val="0"/>
        <w:adjustRightInd w:val="0"/>
        <w:rPr>
          <w:rFonts w:hint="eastAsia" w:ascii="宋体" w:hAnsi="宋体" w:cs="宋体"/>
          <w:bCs/>
          <w:color w:val="000000"/>
          <w:sz w:val="24"/>
          <w:szCs w:val="24"/>
          <w:lang w:val="zh-CN"/>
        </w:rPr>
      </w:pPr>
    </w:p>
    <w:p w14:paraId="46112868">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根据你方 </w:t>
      </w:r>
      <w:r>
        <w:rPr>
          <w:rFonts w:hint="eastAsia" w:ascii="宋体" w:hAnsi="宋体" w:cs="宋体"/>
          <w:bCs/>
          <w:color w:val="000000"/>
          <w:sz w:val="24"/>
          <w:szCs w:val="24"/>
          <w:u w:val="single"/>
          <w:lang w:val="zh-CN"/>
        </w:rPr>
        <w:t xml:space="preserve">  （项目名称） </w:t>
      </w:r>
      <w:r>
        <w:rPr>
          <w:rFonts w:hint="eastAsia" w:ascii="宋体" w:hAnsi="宋体" w:cs="宋体"/>
          <w:bCs/>
          <w:color w:val="000000"/>
          <w:sz w:val="24"/>
          <w:szCs w:val="24"/>
          <w:lang w:val="zh-CN"/>
        </w:rPr>
        <w:t>项目的编号为</w:t>
      </w:r>
      <w:r>
        <w:rPr>
          <w:rFonts w:hint="eastAsia" w:ascii="宋体" w:hAnsi="宋体" w:cs="宋体"/>
          <w:bCs/>
          <w:color w:val="000000"/>
          <w:sz w:val="24"/>
          <w:szCs w:val="24"/>
          <w:u w:val="single"/>
          <w:lang w:val="zh-CN"/>
        </w:rPr>
        <w:t xml:space="preserve">  （编号）     </w:t>
      </w:r>
      <w:r>
        <w:rPr>
          <w:rFonts w:hint="eastAsia" w:ascii="宋体" w:hAnsi="宋体" w:cs="宋体"/>
          <w:bCs/>
          <w:color w:val="000000"/>
          <w:sz w:val="24"/>
          <w:szCs w:val="24"/>
          <w:lang w:val="zh-CN"/>
        </w:rPr>
        <w:t>招标文件，我方正式授权的下述签字人</w:t>
      </w:r>
      <w:r>
        <w:rPr>
          <w:rFonts w:hint="eastAsia" w:ascii="宋体" w:hAnsi="宋体" w:cs="宋体"/>
          <w:bCs/>
          <w:color w:val="000000"/>
          <w:sz w:val="24"/>
          <w:szCs w:val="24"/>
          <w:u w:val="single"/>
          <w:lang w:val="zh-CN"/>
        </w:rPr>
        <w:t xml:space="preserve">  （姓名和职务）  </w:t>
      </w:r>
      <w:r>
        <w:rPr>
          <w:rFonts w:hint="eastAsia" w:ascii="宋体" w:hAnsi="宋体" w:cs="宋体"/>
          <w:bCs/>
          <w:color w:val="000000"/>
          <w:sz w:val="24"/>
          <w:szCs w:val="24"/>
          <w:lang w:val="zh-CN"/>
        </w:rPr>
        <w:t>代表我方</w:t>
      </w:r>
      <w:r>
        <w:rPr>
          <w:rFonts w:hint="eastAsia" w:ascii="宋体" w:hAnsi="宋体" w:cs="宋体"/>
          <w:bCs/>
          <w:color w:val="000000"/>
          <w:sz w:val="24"/>
          <w:szCs w:val="24"/>
          <w:u w:val="single"/>
          <w:lang w:val="zh-CN"/>
        </w:rPr>
        <w:t xml:space="preserve">  （投标人的名称）  </w:t>
      </w:r>
      <w:r>
        <w:rPr>
          <w:rFonts w:hint="eastAsia" w:ascii="宋体" w:hAnsi="宋体" w:cs="宋体"/>
          <w:bCs/>
          <w:color w:val="000000"/>
          <w:sz w:val="24"/>
          <w:szCs w:val="24"/>
          <w:lang w:val="zh-CN"/>
        </w:rPr>
        <w:t>，按照你方招标文件的规定，提交《投标人须知》“投标文件构成”要求的全部文件</w:t>
      </w:r>
      <w:r>
        <w:rPr>
          <w:rFonts w:hint="eastAsia" w:ascii="宋体" w:hAnsi="宋体" w:cs="宋体"/>
          <w:bCs/>
          <w:color w:val="000000"/>
          <w:sz w:val="24"/>
          <w:szCs w:val="24"/>
        </w:rPr>
        <w:t>，</w:t>
      </w:r>
      <w:r>
        <w:rPr>
          <w:rFonts w:hint="eastAsia" w:ascii="宋体" w:hAnsi="宋体" w:cs="宋体"/>
          <w:bCs/>
          <w:color w:val="000000"/>
          <w:sz w:val="24"/>
          <w:szCs w:val="24"/>
          <w:lang w:val="zh-CN"/>
        </w:rPr>
        <w:t>并保证所提供的全部文件是真实的、有效的和准确的。</w:t>
      </w:r>
    </w:p>
    <w:p w14:paraId="1B47E5DD">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据此函，签字人兹宣布同意如下：</w:t>
      </w:r>
    </w:p>
    <w:p w14:paraId="304A1F16">
      <w:pPr>
        <w:tabs>
          <w:tab w:val="left" w:pos="8175"/>
        </w:tabs>
        <w:autoSpaceDE w:val="0"/>
        <w:autoSpaceDN w:val="0"/>
        <w:adjustRightInd w:val="0"/>
        <w:ind w:firstLine="480" w:firstLineChars="200"/>
        <w:rPr>
          <w:rFonts w:hint="eastAsia" w:ascii="宋体" w:hAnsi="宋体" w:cs="宋体"/>
          <w:bCs/>
          <w:color w:val="000000"/>
          <w:sz w:val="24"/>
          <w:szCs w:val="24"/>
          <w:lang w:val="zh-CN"/>
        </w:rPr>
      </w:pPr>
      <w:r>
        <w:rPr>
          <w:rFonts w:hint="eastAsia" w:ascii="宋体" w:hAnsi="宋体" w:cs="宋体"/>
          <w:bCs/>
          <w:color w:val="000000"/>
          <w:sz w:val="24"/>
          <w:szCs w:val="24"/>
          <w:lang w:val="zh-CN"/>
        </w:rPr>
        <w:t>1.按招标文件规定提供货物及服务的投标总价为（大写</w:t>
      </w:r>
      <w:r>
        <w:rPr>
          <w:rFonts w:hint="eastAsia" w:ascii="宋体" w:hAnsi="宋体" w:cs="宋体"/>
          <w:bCs/>
          <w:color w:val="000000"/>
          <w:sz w:val="24"/>
          <w:szCs w:val="24"/>
          <w:u w:val="single"/>
          <w:lang w:val="zh-CN"/>
        </w:rPr>
        <w:t xml:space="preserve">）     </w:t>
      </w:r>
      <w:r>
        <w:rPr>
          <w:rFonts w:hint="eastAsia" w:ascii="宋体" w:hAnsi="宋体" w:cs="宋体"/>
          <w:bCs/>
          <w:color w:val="000000"/>
          <w:sz w:val="24"/>
          <w:szCs w:val="24"/>
          <w:lang w:val="zh-CN"/>
        </w:rPr>
        <w:t>元人民币。</w:t>
      </w:r>
    </w:p>
    <w:p w14:paraId="269753A1">
      <w:pPr>
        <w:tabs>
          <w:tab w:val="left" w:pos="8175"/>
        </w:tabs>
        <w:autoSpaceDE w:val="0"/>
        <w:autoSpaceDN w:val="0"/>
        <w:adjustRightInd w:val="0"/>
        <w:ind w:firstLine="480" w:firstLineChars="200"/>
        <w:rPr>
          <w:rFonts w:hint="eastAsia" w:ascii="宋体" w:hAnsi="宋体" w:cs="宋体"/>
          <w:bCs/>
          <w:color w:val="000000"/>
          <w:sz w:val="24"/>
          <w:szCs w:val="24"/>
          <w:u w:val="single"/>
        </w:rPr>
      </w:pPr>
      <w:r>
        <w:rPr>
          <w:rFonts w:hint="eastAsia" w:ascii="宋体" w:hAnsi="宋体" w:cs="宋体"/>
          <w:bCs/>
          <w:color w:val="000000"/>
          <w:sz w:val="24"/>
          <w:szCs w:val="24"/>
          <w:lang w:val="zh-CN"/>
        </w:rPr>
        <w:t>2.如果我方中标，我们保证根据招标文件规定履行合同责任和义务。具体合同履行期限承诺如下：</w:t>
      </w:r>
      <w:r>
        <w:rPr>
          <w:rFonts w:hint="eastAsia" w:ascii="宋体" w:hAnsi="宋体" w:cs="宋体"/>
          <w:bCs/>
          <w:color w:val="000000"/>
          <w:sz w:val="24"/>
          <w:szCs w:val="24"/>
          <w:u w:val="single"/>
        </w:rPr>
        <w:t xml:space="preserve">         </w:t>
      </w:r>
    </w:p>
    <w:p w14:paraId="167009A7">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3.我方人民币</w:t>
      </w:r>
      <w:r>
        <w:rPr>
          <w:rFonts w:hint="eastAsia" w:ascii="宋体" w:hAnsi="宋体" w:cs="宋体"/>
          <w:bCs/>
          <w:color w:val="000000"/>
          <w:sz w:val="24"/>
          <w:szCs w:val="24"/>
          <w:u w:val="single"/>
          <w:lang w:val="zh-CN"/>
        </w:rPr>
        <w:t xml:space="preserve">        </w:t>
      </w:r>
      <w:r>
        <w:rPr>
          <w:rFonts w:hint="eastAsia" w:ascii="宋体" w:hAnsi="宋体" w:cs="宋体"/>
          <w:bCs/>
          <w:color w:val="000000"/>
          <w:sz w:val="24"/>
          <w:szCs w:val="24"/>
          <w:lang w:val="zh-CN"/>
        </w:rPr>
        <w:t>元的投标保证金与本投标文件同时提交。</w:t>
      </w:r>
    </w:p>
    <w:p w14:paraId="632F0E0D">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4.如我方中标，我方将在法律规定的期限内与你方签订合同，按照招标文件要求</w:t>
      </w:r>
      <w:r>
        <w:rPr>
          <w:rFonts w:hint="eastAsia" w:ascii="宋体" w:hAnsi="宋体" w:cs="宋体"/>
          <w:bCs/>
          <w:color w:val="000000"/>
          <w:sz w:val="24"/>
          <w:szCs w:val="24"/>
        </w:rPr>
        <w:t>提</w:t>
      </w:r>
      <w:r>
        <w:rPr>
          <w:rFonts w:hint="eastAsia" w:ascii="宋体" w:hAnsi="宋体" w:cs="宋体"/>
          <w:bCs/>
          <w:color w:val="000000"/>
          <w:sz w:val="24"/>
          <w:szCs w:val="24"/>
          <w:lang w:val="zh-CN"/>
        </w:rPr>
        <w:t>交履约保证金，并在合同约定的期限内完成合同规定的全部义务。</w:t>
      </w:r>
    </w:p>
    <w:p w14:paraId="1F3B0661">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5.我们已详细阅读了全部招标文件，包括招标文件的修改、补充文件、参考资料及有关的附件，我们接受招标文件的全部条款和条件，我们知道必须放弃提出含糊不清或误解的问题的权利。</w:t>
      </w:r>
    </w:p>
    <w:p w14:paraId="3670822B">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6.我们对招标文件关于时限、程序方面的规定没有异议，保证按照招标文件规定的时限和程序参加投标活动。</w:t>
      </w:r>
    </w:p>
    <w:p w14:paraId="153E77AD">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7.我们同意在投标人须知规定的开标时间起遵循本投标书，并在投标人须知规定的投标有效期满之前均具有约束力，并有可能中标。</w:t>
      </w:r>
    </w:p>
    <w:p w14:paraId="1881E956">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8.我们如果在规定的投标有效期内撤回投标，则你方可不予退还我们的投标保证金。</w:t>
      </w:r>
    </w:p>
    <w:p w14:paraId="4AE158A4">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9.我方已</w:t>
      </w:r>
      <w:r>
        <w:rPr>
          <w:rFonts w:hint="eastAsia" w:ascii="宋体" w:hAnsi="宋体" w:cs="宋体"/>
          <w:bCs/>
          <w:color w:val="000000"/>
          <w:sz w:val="24"/>
          <w:szCs w:val="24"/>
        </w:rPr>
        <w:t>提</w:t>
      </w:r>
      <w:r>
        <w:rPr>
          <w:rFonts w:hint="eastAsia" w:ascii="宋体" w:hAnsi="宋体" w:cs="宋体"/>
          <w:bCs/>
          <w:color w:val="000000"/>
          <w:sz w:val="24"/>
          <w:szCs w:val="24"/>
          <w:lang w:val="zh-CN"/>
        </w:rPr>
        <w:t>供的全部文件资料是真实、准确的，并对此承担一切法律后果。</w:t>
      </w:r>
    </w:p>
    <w:p w14:paraId="42126199">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10.除合同条款及采购需求偏离表列出的偏离外，我方响应招标文件的全部要求。</w:t>
      </w:r>
    </w:p>
    <w:p w14:paraId="5636F223">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11.本投标自开标之时起90天内有效。</w:t>
      </w:r>
    </w:p>
    <w:p w14:paraId="14F41477">
      <w:pPr>
        <w:tabs>
          <w:tab w:val="left" w:pos="709"/>
        </w:tabs>
        <w:autoSpaceDE w:val="0"/>
        <w:autoSpaceDN w:val="0"/>
        <w:adjustRightInd w:val="0"/>
        <w:ind w:firstLine="482"/>
        <w:rPr>
          <w:rFonts w:hint="eastAsia" w:ascii="宋体" w:hAnsi="宋体" w:cs="宋体"/>
          <w:bCs/>
          <w:color w:val="000000"/>
          <w:sz w:val="24"/>
          <w:szCs w:val="24"/>
          <w:lang w:val="zh-CN"/>
        </w:rPr>
      </w:pPr>
      <w:r>
        <w:rPr>
          <w:rFonts w:hint="eastAsia" w:ascii="宋体" w:hAnsi="宋体" w:cs="宋体"/>
          <w:bCs/>
          <w:color w:val="000000"/>
          <w:sz w:val="24"/>
          <w:szCs w:val="24"/>
          <w:lang w:val="zh-CN"/>
        </w:rPr>
        <w:t>12.我方保证严格遵守《中华人民共和国政府采购法》的有关规定，若有下列情形之一的，我方将被处不予退还投标保证金，列入不良行为记录名单，在一至三年内禁止参加政府采购活动，并予以公告：</w:t>
      </w:r>
    </w:p>
    <w:p w14:paraId="72C1D459">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（1）提供虚假材料谋取中标、成交的；</w:t>
      </w:r>
    </w:p>
    <w:p w14:paraId="10FC403D">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（2）采取不正当手段诋毁、排挤其他投标人的；</w:t>
      </w:r>
    </w:p>
    <w:p w14:paraId="383918D6">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（3）与其他投标人、招标机构或者采购人人员或者其他有关人员恶意串通的；</w:t>
      </w:r>
    </w:p>
    <w:p w14:paraId="017A97D2">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（4）向评标委员会成员、招标机构或者采购人人员或者其他有关人员行贿或者提供其他不正当利益的；</w:t>
      </w:r>
    </w:p>
    <w:p w14:paraId="571F111B">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（5）被评定中标后无正当理由不与采购人或者采购代理机构订立合同，或者中标后不按招标文件和中标供应商的投标文件订立合同，或者与采购人另行订立背离合同实质性内容的协议的；</w:t>
      </w:r>
    </w:p>
    <w:p w14:paraId="5DE00D07">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（6）将中标项目转让给他人或者将中标项目分包给他人的；</w:t>
      </w:r>
    </w:p>
    <w:p w14:paraId="7760B123">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（7）签订合同后拒绝履行合同义务的；</w:t>
      </w:r>
    </w:p>
    <w:p w14:paraId="5378859F">
      <w:pPr>
        <w:autoSpaceDE w:val="0"/>
        <w:autoSpaceDN w:val="0"/>
        <w:adjustRightInd w:val="0"/>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（8）拒绝有关部门监督检查或提供虚假情况的。</w:t>
      </w:r>
    </w:p>
    <w:p w14:paraId="51AB12FB">
      <w:pPr>
        <w:pStyle w:val="10"/>
        <w:rPr>
          <w:rFonts w:hint="eastAsia" w:hAnsi="宋体" w:cs="宋体"/>
          <w:b/>
          <w:bCs/>
          <w:sz w:val="24"/>
          <w:szCs w:val="24"/>
          <w:lang w:val="zh-CN"/>
        </w:rPr>
      </w:pPr>
    </w:p>
    <w:p w14:paraId="2B040871">
      <w:pPr>
        <w:pStyle w:val="10"/>
        <w:rPr>
          <w:rFonts w:hint="eastAsia" w:hAnsi="宋体" w:cs="宋体"/>
          <w:sz w:val="24"/>
          <w:szCs w:val="24"/>
          <w:u w:val="single"/>
        </w:rPr>
      </w:pPr>
      <w:r>
        <w:rPr>
          <w:rFonts w:hAnsi="宋体" w:cs="宋体"/>
          <w:sz w:val="24"/>
          <w:szCs w:val="24"/>
          <w:lang w:val="zh-CN"/>
        </w:rPr>
        <w:t>投标人</w:t>
      </w:r>
      <w:r>
        <w:rPr>
          <w:rFonts w:hint="eastAsia" w:hAnsi="宋体" w:cs="宋体"/>
          <w:sz w:val="24"/>
          <w:szCs w:val="24"/>
          <w:lang w:val="zh-CN"/>
        </w:rPr>
        <w:t>名称（盖章）</w:t>
      </w:r>
      <w:r>
        <w:rPr>
          <w:rFonts w:hAnsi="宋体" w:cs="宋体"/>
          <w:sz w:val="24"/>
          <w:szCs w:val="24"/>
          <w:lang w:val="zh-CN"/>
        </w:rPr>
        <w:t>：</w:t>
      </w:r>
      <w:r>
        <w:rPr>
          <w:rFonts w:hAnsi="宋体" w:cs="宋体"/>
          <w:sz w:val="24"/>
          <w:szCs w:val="24"/>
          <w:u w:val="single"/>
          <w:lang w:val="zh-CN"/>
        </w:rPr>
        <w:t xml:space="preserve">     </w:t>
      </w:r>
      <w:r>
        <w:rPr>
          <w:rFonts w:hint="eastAsia" w:hAnsi="宋体" w:cs="宋体"/>
          <w:sz w:val="24"/>
          <w:szCs w:val="24"/>
          <w:u w:val="single"/>
        </w:rPr>
        <w:t xml:space="preserve">              </w:t>
      </w:r>
    </w:p>
    <w:p w14:paraId="54C4A80C">
      <w:pPr>
        <w:pStyle w:val="10"/>
        <w:rPr>
          <w:rFonts w:hint="eastAsia" w:hAnsi="宋体" w:cs="宋体"/>
          <w:sz w:val="24"/>
          <w:szCs w:val="24"/>
          <w:u w:val="single"/>
        </w:rPr>
      </w:pPr>
      <w:r>
        <w:rPr>
          <w:rFonts w:hAnsi="宋体" w:cs="宋体"/>
          <w:sz w:val="24"/>
          <w:szCs w:val="24"/>
          <w:lang w:val="zh-CN"/>
        </w:rPr>
        <w:t>法定代表人</w:t>
      </w:r>
      <w:r>
        <w:rPr>
          <w:rFonts w:hint="eastAsia" w:hAnsi="宋体" w:cs="宋体"/>
          <w:sz w:val="24"/>
          <w:szCs w:val="24"/>
          <w:lang w:val="zh-CN"/>
        </w:rPr>
        <w:t>或授权代理人（盖章或签字）</w:t>
      </w:r>
      <w:r>
        <w:rPr>
          <w:rFonts w:hAnsi="宋体" w:cs="宋体"/>
          <w:sz w:val="24"/>
          <w:szCs w:val="24"/>
          <w:lang w:val="zh-CN"/>
        </w:rPr>
        <w:t>：</w:t>
      </w:r>
    </w:p>
    <w:p w14:paraId="176FBBC3">
      <w:pPr>
        <w:pStyle w:val="10"/>
        <w:rPr>
          <w:rFonts w:hint="eastAsia" w:hAnsi="宋体" w:cs="宋体"/>
          <w:sz w:val="24"/>
          <w:szCs w:val="24"/>
          <w:lang w:val="zh-CN"/>
        </w:rPr>
      </w:pPr>
      <w:r>
        <w:rPr>
          <w:rFonts w:hAnsi="宋体" w:cs="宋体"/>
          <w:sz w:val="24"/>
          <w:szCs w:val="24"/>
          <w:lang w:val="zh-CN"/>
        </w:rPr>
        <w:t>日 期：</w:t>
      </w:r>
      <w:r>
        <w:rPr>
          <w:rFonts w:hint="eastAsia" w:hAnsi="宋体" w:cs="宋体"/>
          <w:sz w:val="24"/>
          <w:szCs w:val="24"/>
          <w:u w:val="single"/>
        </w:rPr>
        <w:t xml:space="preserve">                                </w:t>
      </w:r>
      <w:r>
        <w:rPr>
          <w:rFonts w:hAnsi="宋体" w:cs="宋体"/>
          <w:sz w:val="24"/>
          <w:szCs w:val="24"/>
          <w:lang w:val="zh-CN"/>
        </w:rPr>
        <w:t xml:space="preserve">       </w:t>
      </w:r>
    </w:p>
    <w:p w14:paraId="3482F4CB">
      <w:pPr>
        <w:pStyle w:val="10"/>
        <w:rPr>
          <w:rFonts w:hint="eastAsia" w:hAnsi="宋体" w:cs="宋体"/>
          <w:sz w:val="24"/>
          <w:szCs w:val="24"/>
          <w:lang w:val="zh-CN"/>
        </w:rPr>
      </w:pPr>
      <w:r>
        <w:rPr>
          <w:rFonts w:hint="eastAsia" w:hAnsi="宋体" w:cs="宋体"/>
          <w:sz w:val="24"/>
          <w:szCs w:val="24"/>
          <w:lang w:val="zh-CN"/>
        </w:rPr>
        <w:t>地</w:t>
      </w:r>
      <w:r>
        <w:rPr>
          <w:rFonts w:hint="eastAsia" w:hAnsi="宋体" w:cs="宋体"/>
          <w:sz w:val="24"/>
          <w:szCs w:val="24"/>
        </w:rPr>
        <w:t xml:space="preserve"> </w:t>
      </w:r>
      <w:r>
        <w:rPr>
          <w:rFonts w:hint="eastAsia" w:hAnsi="宋体" w:cs="宋体"/>
          <w:sz w:val="24"/>
          <w:szCs w:val="24"/>
          <w:lang w:val="zh-CN"/>
        </w:rPr>
        <w:t>址：</w:t>
      </w:r>
      <w:r>
        <w:rPr>
          <w:rFonts w:hint="eastAsia" w:hAnsi="宋体" w:cs="宋体"/>
          <w:sz w:val="24"/>
          <w:szCs w:val="24"/>
          <w:u w:val="single"/>
        </w:rPr>
        <w:t xml:space="preserve">                                </w:t>
      </w:r>
      <w:r>
        <w:rPr>
          <w:rFonts w:hAnsi="宋体" w:cs="宋体"/>
          <w:sz w:val="24"/>
          <w:szCs w:val="24"/>
          <w:lang w:val="zh-CN"/>
        </w:rPr>
        <w:t xml:space="preserve">                                       </w:t>
      </w:r>
    </w:p>
    <w:p w14:paraId="1EF5D821">
      <w:pPr>
        <w:pStyle w:val="10"/>
        <w:rPr>
          <w:rFonts w:hint="eastAsia" w:hAnsi="宋体" w:cs="宋体"/>
          <w:sz w:val="24"/>
          <w:szCs w:val="24"/>
          <w:lang w:val="zh-CN"/>
        </w:rPr>
      </w:pPr>
      <w:r>
        <w:rPr>
          <w:rFonts w:hint="eastAsia" w:hAnsi="宋体" w:cs="宋体"/>
          <w:sz w:val="24"/>
          <w:szCs w:val="24"/>
          <w:lang w:val="zh-CN"/>
        </w:rPr>
        <w:t>电话、传真或电传：</w:t>
      </w:r>
      <w:r>
        <w:rPr>
          <w:rFonts w:hint="eastAsia" w:hAnsi="宋体" w:cs="宋体"/>
          <w:sz w:val="24"/>
          <w:szCs w:val="24"/>
          <w:u w:val="single"/>
        </w:rPr>
        <w:t xml:space="preserve">                     </w:t>
      </w:r>
      <w:r>
        <w:rPr>
          <w:rFonts w:hAnsi="宋体" w:cs="宋体"/>
          <w:sz w:val="24"/>
          <w:szCs w:val="24"/>
          <w:lang w:val="zh-CN"/>
        </w:rPr>
        <w:t xml:space="preserve">                           </w:t>
      </w:r>
    </w:p>
    <w:p w14:paraId="58712F4C">
      <w:pPr>
        <w:pStyle w:val="10"/>
        <w:rPr>
          <w:rFonts w:hint="eastAsia" w:hAnsi="宋体" w:cs="宋体"/>
          <w:b/>
          <w:bCs/>
          <w:sz w:val="24"/>
          <w:szCs w:val="24"/>
          <w:lang w:val="zh-CN"/>
        </w:rPr>
      </w:pPr>
      <w:r>
        <w:rPr>
          <w:rFonts w:hint="eastAsia" w:hAnsi="宋体" w:cs="宋体"/>
          <w:sz w:val="24"/>
          <w:szCs w:val="24"/>
          <w:lang w:val="zh-CN"/>
        </w:rPr>
        <w:t>邮政编码：</w:t>
      </w:r>
      <w:r>
        <w:rPr>
          <w:rFonts w:hint="eastAsia" w:hAnsi="宋体" w:cs="宋体"/>
          <w:sz w:val="24"/>
          <w:szCs w:val="24"/>
          <w:u w:val="single"/>
        </w:rPr>
        <w:t xml:space="preserve">                             </w:t>
      </w:r>
      <w:r>
        <w:rPr>
          <w:rFonts w:hAnsi="宋体" w:cs="宋体"/>
          <w:sz w:val="24"/>
          <w:szCs w:val="24"/>
          <w:lang w:val="zh-CN"/>
        </w:rPr>
        <w:t xml:space="preserve">    </w:t>
      </w:r>
      <w:r>
        <w:rPr>
          <w:rFonts w:hAnsi="宋体" w:cs="宋体"/>
          <w:b/>
          <w:bCs/>
          <w:sz w:val="24"/>
          <w:szCs w:val="24"/>
          <w:lang w:val="zh-CN"/>
        </w:rPr>
        <w:t xml:space="preserve">                              </w:t>
      </w:r>
    </w:p>
    <w:p w14:paraId="09305120">
      <w:pPr>
        <w:autoSpaceDE w:val="0"/>
        <w:autoSpaceDN w:val="0"/>
        <w:adjustRightInd w:val="0"/>
        <w:snapToGrid w:val="0"/>
        <w:spacing w:line="360" w:lineRule="auto"/>
        <w:rPr>
          <w:rFonts w:hint="eastAsia" w:ascii="宋体" w:hAnsi="宋体" w:cs="宋体"/>
          <w:b/>
          <w:sz w:val="24"/>
          <w:szCs w:val="24"/>
          <w:lang w:val="zh-CN"/>
        </w:rPr>
      </w:pPr>
    </w:p>
    <w:p w14:paraId="1DA4FC4A">
      <w:pPr>
        <w:autoSpaceDE w:val="0"/>
        <w:autoSpaceDN w:val="0"/>
        <w:adjustRightInd w:val="0"/>
        <w:rPr>
          <w:rFonts w:hint="eastAsia" w:ascii="宋体" w:hAnsi="宋体" w:cs="宋体"/>
          <w:bCs/>
          <w:color w:val="000000"/>
          <w:szCs w:val="21"/>
          <w:lang w:val="zh-CN"/>
        </w:rPr>
      </w:pPr>
    </w:p>
    <w:p w14:paraId="5D6F572E">
      <w:pPr>
        <w:autoSpaceDE w:val="0"/>
        <w:autoSpaceDN w:val="0"/>
        <w:adjustRightInd w:val="0"/>
        <w:rPr>
          <w:rFonts w:hint="eastAsia" w:ascii="宋体" w:hAnsi="宋体" w:cs="宋体"/>
          <w:bCs/>
          <w:color w:val="000000"/>
          <w:szCs w:val="21"/>
          <w:lang w:val="zh-CN"/>
        </w:rPr>
      </w:pPr>
    </w:p>
    <w:p w14:paraId="137077AD">
      <w:pPr>
        <w:autoSpaceDE w:val="0"/>
        <w:autoSpaceDN w:val="0"/>
        <w:adjustRightInd w:val="0"/>
        <w:rPr>
          <w:rFonts w:hint="eastAsia" w:ascii="宋体" w:hAnsi="宋体" w:cs="宋体"/>
          <w:bCs/>
          <w:color w:val="000000"/>
          <w:szCs w:val="21"/>
          <w:lang w:val="zh-CN"/>
        </w:rPr>
      </w:pPr>
    </w:p>
    <w:p w14:paraId="5CABD3E7">
      <w:pPr>
        <w:autoSpaceDE w:val="0"/>
        <w:autoSpaceDN w:val="0"/>
        <w:adjustRightInd w:val="0"/>
        <w:rPr>
          <w:rFonts w:hint="eastAsia" w:ascii="宋体" w:hAnsi="宋体" w:cs="宋体"/>
          <w:bCs/>
          <w:color w:val="000000"/>
          <w:szCs w:val="21"/>
          <w:lang w:val="zh-CN"/>
        </w:rPr>
        <w:sectPr>
          <w:footerReference r:id="rId17" w:type="first"/>
          <w:footerReference r:id="rId16" w:type="default"/>
          <w:pgSz w:w="11906" w:h="16838"/>
          <w:pgMar w:top="1440" w:right="1080" w:bottom="1440" w:left="1080" w:header="851" w:footer="737" w:gutter="0"/>
          <w:cols w:space="720" w:num="1"/>
          <w:titlePg/>
          <w:docGrid w:type="lines" w:linePitch="490" w:charSpace="0"/>
        </w:sectPr>
      </w:pPr>
    </w:p>
    <w:p w14:paraId="46ED3DA1">
      <w:pPr>
        <w:autoSpaceDE w:val="0"/>
        <w:autoSpaceDN w:val="0"/>
        <w:adjustRightInd w:val="0"/>
        <w:jc w:val="center"/>
        <w:rPr>
          <w:rFonts w:hint="eastAsia" w:ascii="宋体" w:hAnsi="宋体" w:cs="宋体"/>
          <w:b/>
          <w:bCs/>
          <w:color w:val="000000"/>
          <w:szCs w:val="21"/>
          <w:lang w:val="zh-CN"/>
        </w:rPr>
      </w:pPr>
    </w:p>
    <w:p w14:paraId="166214DE">
      <w:pPr>
        <w:autoSpaceDE w:val="0"/>
        <w:autoSpaceDN w:val="0"/>
        <w:adjustRightInd w:val="0"/>
        <w:jc w:val="center"/>
        <w:rPr>
          <w:rFonts w:hint="eastAsia" w:ascii="宋体" w:hAnsi="宋体" w:cs="宋体"/>
          <w:b/>
          <w:bCs/>
          <w:color w:val="000000"/>
          <w:sz w:val="28"/>
          <w:szCs w:val="28"/>
          <w:lang w:val="zh-CN"/>
        </w:rPr>
      </w:pPr>
      <w:r>
        <w:rPr>
          <w:rFonts w:hint="eastAsia" w:ascii="宋体" w:hAnsi="宋体" w:cs="宋体"/>
          <w:b/>
          <w:bCs/>
          <w:color w:val="000000"/>
          <w:sz w:val="28"/>
          <w:szCs w:val="28"/>
          <w:lang w:val="zh-CN"/>
        </w:rPr>
        <w:t>二、开标一览表</w:t>
      </w:r>
    </w:p>
    <w:p w14:paraId="4BC75826">
      <w:pPr>
        <w:autoSpaceDE w:val="0"/>
        <w:autoSpaceDN w:val="0"/>
        <w:adjustRightInd w:val="0"/>
        <w:rPr>
          <w:rFonts w:hint="eastAsia" w:ascii="宋体" w:hAnsi="宋体" w:cs="宋体"/>
          <w:bCs/>
          <w:color w:val="000000"/>
          <w:szCs w:val="21"/>
          <w:lang w:val="zh-CN"/>
        </w:rPr>
      </w:pPr>
    </w:p>
    <w:p w14:paraId="398D78EE">
      <w:pPr>
        <w:autoSpaceDE w:val="0"/>
        <w:autoSpaceDN w:val="0"/>
        <w:adjustRightInd w:val="0"/>
        <w:ind w:firstLine="240" w:firstLineChars="100"/>
        <w:jc w:val="left"/>
        <w:rPr>
          <w:rFonts w:hint="eastAsia" w:ascii="宋体" w:hAnsi="宋体" w:cs="宋体"/>
          <w:bCs/>
          <w:color w:val="000000"/>
          <w:sz w:val="24"/>
          <w:szCs w:val="24"/>
          <w:lang w:val="zh-CN"/>
        </w:rPr>
      </w:pPr>
      <w:r>
        <w:rPr>
          <w:rFonts w:hint="eastAsia" w:ascii="宋体" w:hAnsi="宋体" w:cs="宋体"/>
          <w:bCs/>
          <w:color w:val="000000"/>
          <w:sz w:val="24"/>
          <w:szCs w:val="24"/>
          <w:lang w:val="zh-CN"/>
        </w:rPr>
        <w:t>项目名称：</w:t>
      </w:r>
    </w:p>
    <w:p w14:paraId="0365151C">
      <w:pPr>
        <w:autoSpaceDE w:val="0"/>
        <w:autoSpaceDN w:val="0"/>
        <w:adjustRightInd w:val="0"/>
        <w:ind w:firstLine="240" w:firstLineChars="100"/>
        <w:jc w:val="left"/>
        <w:rPr>
          <w:rFonts w:hint="eastAsia" w:ascii="宋体" w:hAnsi="宋体" w:cs="宋体"/>
          <w:bCs/>
          <w:color w:val="000000"/>
          <w:sz w:val="24"/>
          <w:szCs w:val="24"/>
          <w:lang w:val="zh-CN"/>
        </w:rPr>
      </w:pPr>
      <w:r>
        <w:rPr>
          <w:rFonts w:hint="eastAsia" w:ascii="宋体" w:hAnsi="宋体" w:cs="宋体"/>
          <w:bCs/>
          <w:color w:val="000000"/>
          <w:sz w:val="24"/>
          <w:szCs w:val="24"/>
          <w:lang w:val="zh-CN"/>
        </w:rPr>
        <w:t>项目编号：</w:t>
      </w:r>
    </w:p>
    <w:p w14:paraId="57E7940F">
      <w:pPr>
        <w:autoSpaceDE w:val="0"/>
        <w:autoSpaceDN w:val="0"/>
        <w:adjustRightInd w:val="0"/>
        <w:ind w:firstLine="240" w:firstLineChars="100"/>
        <w:jc w:val="left"/>
        <w:rPr>
          <w:rFonts w:hint="eastAsia" w:ascii="宋体" w:hAnsi="宋体" w:cs="宋体"/>
          <w:bCs/>
          <w:color w:val="000000"/>
          <w:sz w:val="24"/>
          <w:szCs w:val="24"/>
          <w:u w:val="single"/>
          <w:lang w:val="zh-CN"/>
        </w:rPr>
      </w:pPr>
      <w:r>
        <w:rPr>
          <w:rFonts w:hint="eastAsia" w:ascii="宋体" w:hAnsi="宋体" w:cs="宋体"/>
          <w:bCs/>
          <w:color w:val="000000"/>
          <w:sz w:val="24"/>
          <w:szCs w:val="24"/>
          <w:lang w:val="zh-CN"/>
        </w:rPr>
        <w:t>投标人名称（</w:t>
      </w:r>
      <w:r>
        <w:rPr>
          <w:rFonts w:hint="eastAsia" w:ascii="宋体" w:hAnsi="宋体" w:cs="宋体"/>
          <w:color w:val="000000"/>
          <w:kern w:val="0"/>
          <w:sz w:val="24"/>
          <w:szCs w:val="24"/>
          <w:lang w:bidi="ar"/>
        </w:rPr>
        <w:t>加盖公章</w:t>
      </w:r>
      <w:r>
        <w:rPr>
          <w:rFonts w:hint="eastAsia" w:ascii="宋体" w:hAnsi="宋体" w:cs="宋体"/>
          <w:bCs/>
          <w:color w:val="000000"/>
          <w:sz w:val="24"/>
          <w:szCs w:val="24"/>
          <w:lang w:val="zh-CN"/>
        </w:rPr>
        <w:t>）：</w:t>
      </w:r>
    </w:p>
    <w:p w14:paraId="6A27E8D3">
      <w:pPr>
        <w:autoSpaceDE w:val="0"/>
        <w:autoSpaceDN w:val="0"/>
        <w:adjustRightInd w:val="0"/>
        <w:ind w:firstLine="240" w:firstLineChars="100"/>
        <w:jc w:val="left"/>
        <w:rPr>
          <w:rFonts w:hint="eastAsia" w:ascii="宋体" w:hAnsi="宋体" w:cs="宋体"/>
          <w:bCs/>
          <w:color w:val="000000"/>
          <w:sz w:val="24"/>
          <w:szCs w:val="24"/>
          <w:lang w:val="zh-CN"/>
        </w:rPr>
      </w:pPr>
      <w:r>
        <w:rPr>
          <w:rFonts w:hint="eastAsia" w:ascii="宋体" w:hAnsi="宋体" w:cs="宋体"/>
          <w:bCs/>
          <w:color w:val="000000"/>
          <w:sz w:val="24"/>
          <w:szCs w:val="24"/>
          <w:lang w:val="zh-CN"/>
        </w:rPr>
        <w:t>法定代表人或授权代理人（签字）：</w:t>
      </w:r>
    </w:p>
    <w:p w14:paraId="181BDDA4">
      <w:pPr>
        <w:autoSpaceDE w:val="0"/>
        <w:autoSpaceDN w:val="0"/>
        <w:adjustRightInd w:val="0"/>
        <w:ind w:right="480" w:firstLine="240" w:firstLineChars="100"/>
        <w:jc w:val="left"/>
        <w:rPr>
          <w:rFonts w:hint="eastAsia" w:ascii="宋体" w:hAnsi="宋体" w:cs="宋体"/>
          <w:bCs/>
          <w:color w:val="000000"/>
          <w:sz w:val="24"/>
          <w:szCs w:val="24"/>
          <w:lang w:val="zh-CN"/>
        </w:rPr>
      </w:pPr>
      <w:r>
        <w:rPr>
          <w:rFonts w:hint="eastAsia" w:ascii="宋体" w:hAnsi="宋体" w:cs="宋体"/>
          <w:bCs/>
          <w:sz w:val="24"/>
          <w:szCs w:val="24"/>
          <w:lang w:val="zh-CN"/>
        </w:rPr>
        <w:t>开标时间：</w:t>
      </w:r>
      <w:r>
        <w:rPr>
          <w:rFonts w:hint="eastAsia" w:ascii="宋体" w:hAnsi="宋体" w:cs="宋体"/>
          <w:bCs/>
          <w:sz w:val="24"/>
          <w:szCs w:val="24"/>
          <w:u w:val="single"/>
        </w:rPr>
        <w:t xml:space="preserve">         </w:t>
      </w:r>
      <w:r>
        <w:rPr>
          <w:rFonts w:hint="eastAsia" w:ascii="宋体" w:hAnsi="宋体" w:cs="宋体"/>
          <w:bCs/>
          <w:sz w:val="24"/>
          <w:szCs w:val="24"/>
          <w:u w:val="single"/>
          <w:lang w:val="zh-CN"/>
        </w:rPr>
        <w:t>年</w:t>
      </w:r>
      <w:r>
        <w:rPr>
          <w:rFonts w:hint="eastAsia" w:ascii="宋体" w:hAnsi="宋体" w:cs="宋体"/>
          <w:bCs/>
          <w:sz w:val="24"/>
          <w:szCs w:val="24"/>
          <w:u w:val="single"/>
        </w:rPr>
        <w:t xml:space="preserve">  月  日   时   分</w:t>
      </w:r>
      <w:r>
        <w:rPr>
          <w:rFonts w:hint="eastAsia" w:ascii="宋体" w:hAnsi="宋体" w:cs="宋体"/>
          <w:bCs/>
          <w:sz w:val="24"/>
          <w:szCs w:val="24"/>
        </w:rPr>
        <w:t xml:space="preserve">            </w:t>
      </w:r>
      <w:r>
        <w:rPr>
          <w:rFonts w:hint="eastAsia" w:ascii="宋体" w:hAnsi="宋体" w:cs="宋体"/>
          <w:bCs/>
          <w:color w:val="000000"/>
          <w:sz w:val="24"/>
          <w:szCs w:val="24"/>
          <w:lang w:val="zh-CN"/>
        </w:rPr>
        <w:t xml:space="preserve">   </w:t>
      </w:r>
      <w:r>
        <w:rPr>
          <w:rFonts w:hint="eastAsia" w:ascii="宋体" w:hAnsi="宋体" w:cs="宋体"/>
          <w:bCs/>
          <w:color w:val="000000"/>
          <w:sz w:val="24"/>
          <w:szCs w:val="24"/>
        </w:rPr>
        <w:t xml:space="preserve">                                                 </w:t>
      </w:r>
      <w:r>
        <w:rPr>
          <w:rFonts w:hint="eastAsia" w:ascii="宋体" w:hAnsi="宋体" w:cs="宋体"/>
          <w:bCs/>
          <w:color w:val="000000"/>
          <w:sz w:val="24"/>
          <w:szCs w:val="24"/>
          <w:lang w:val="zh-CN"/>
        </w:rPr>
        <w:t xml:space="preserve">货币单位：万元                                                                         </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2"/>
        <w:gridCol w:w="3134"/>
        <w:gridCol w:w="3351"/>
        <w:gridCol w:w="2210"/>
        <w:gridCol w:w="2181"/>
      </w:tblGrid>
      <w:tr w14:paraId="68FC7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347" w:type="pct"/>
            <w:vAlign w:val="center"/>
          </w:tcPr>
          <w:p w14:paraId="0012A124">
            <w:pPr>
              <w:widowControl/>
              <w:tabs>
                <w:tab w:val="left" w:pos="1197"/>
              </w:tabs>
              <w:autoSpaceDE w:val="0"/>
              <w:autoSpaceDN w:val="0"/>
              <w:ind w:right="215"/>
              <w:jc w:val="center"/>
              <w:textAlignment w:val="bottom"/>
              <w:rPr>
                <w:rFonts w:hint="eastAsia" w:ascii="宋体" w:hAnsi="宋体" w:cs="宋体"/>
                <w:bCs/>
                <w:color w:val="000000"/>
                <w:sz w:val="24"/>
                <w:szCs w:val="24"/>
                <w:lang w:val="zh-CN"/>
              </w:rPr>
            </w:pPr>
            <w:r>
              <w:rPr>
                <w:rFonts w:hint="eastAsia" w:ascii="宋体" w:hAnsi="宋体" w:cs="宋体"/>
                <w:bCs/>
                <w:color w:val="000000"/>
                <w:sz w:val="24"/>
                <w:szCs w:val="24"/>
                <w:lang w:val="zh-CN"/>
              </w:rPr>
              <w:t>投标人名称</w:t>
            </w:r>
          </w:p>
        </w:tc>
        <w:tc>
          <w:tcPr>
            <w:tcW w:w="1052" w:type="pct"/>
            <w:vAlign w:val="center"/>
          </w:tcPr>
          <w:p w14:paraId="65BC9D45">
            <w:pPr>
              <w:widowControl/>
              <w:tabs>
                <w:tab w:val="left" w:pos="1197"/>
              </w:tabs>
              <w:autoSpaceDE w:val="0"/>
              <w:autoSpaceDN w:val="0"/>
              <w:ind w:right="215"/>
              <w:jc w:val="center"/>
              <w:textAlignment w:val="bottom"/>
              <w:rPr>
                <w:rFonts w:hint="eastAsia" w:ascii="宋体" w:hAnsi="宋体" w:cs="宋体"/>
                <w:bCs/>
                <w:color w:val="000000"/>
                <w:sz w:val="24"/>
                <w:szCs w:val="24"/>
                <w:lang w:val="zh-CN"/>
              </w:rPr>
            </w:pPr>
            <w:r>
              <w:rPr>
                <w:rFonts w:hint="eastAsia" w:ascii="宋体" w:hAnsi="宋体" w:cs="宋体"/>
                <w:bCs/>
                <w:color w:val="000000"/>
                <w:sz w:val="24"/>
                <w:szCs w:val="24"/>
                <w:lang w:val="zh-CN"/>
              </w:rPr>
              <w:t>投标总报价</w:t>
            </w:r>
          </w:p>
        </w:tc>
        <w:tc>
          <w:tcPr>
            <w:tcW w:w="1125" w:type="pct"/>
            <w:vAlign w:val="center"/>
          </w:tcPr>
          <w:p w14:paraId="0FEA4CF1">
            <w:pPr>
              <w:widowControl/>
              <w:tabs>
                <w:tab w:val="left" w:pos="1197"/>
              </w:tabs>
              <w:autoSpaceDE w:val="0"/>
              <w:autoSpaceDN w:val="0"/>
              <w:ind w:right="215"/>
              <w:jc w:val="center"/>
              <w:textAlignment w:val="bottom"/>
              <w:rPr>
                <w:rFonts w:hint="eastAsia" w:ascii="宋体" w:hAnsi="宋体" w:cs="宋体"/>
                <w:bCs/>
                <w:color w:val="000000"/>
                <w:sz w:val="24"/>
                <w:szCs w:val="24"/>
                <w:lang w:val="zh-CN"/>
              </w:rPr>
            </w:pPr>
            <w:r>
              <w:rPr>
                <w:rFonts w:hint="eastAsia" w:ascii="宋体" w:hAnsi="宋体" w:cs="宋体"/>
                <w:bCs/>
                <w:color w:val="000000"/>
                <w:sz w:val="24"/>
                <w:szCs w:val="24"/>
                <w:lang w:val="zh-CN"/>
              </w:rPr>
              <w:t>是否提交投标保证金</w:t>
            </w:r>
          </w:p>
        </w:tc>
        <w:tc>
          <w:tcPr>
            <w:tcW w:w="742" w:type="pct"/>
            <w:vAlign w:val="center"/>
          </w:tcPr>
          <w:p w14:paraId="2A9677BE">
            <w:pPr>
              <w:widowControl/>
              <w:tabs>
                <w:tab w:val="left" w:pos="1197"/>
              </w:tabs>
              <w:autoSpaceDE w:val="0"/>
              <w:autoSpaceDN w:val="0"/>
              <w:ind w:right="215"/>
              <w:jc w:val="center"/>
              <w:textAlignment w:val="bottom"/>
              <w:rPr>
                <w:rFonts w:hint="eastAsia" w:ascii="宋体" w:hAnsi="宋体" w:cs="宋体"/>
                <w:bCs/>
                <w:color w:val="000000"/>
                <w:sz w:val="24"/>
                <w:szCs w:val="24"/>
                <w:lang w:val="zh-CN"/>
              </w:rPr>
            </w:pPr>
            <w:r>
              <w:rPr>
                <w:rFonts w:hint="eastAsia" w:ascii="宋体" w:hAnsi="宋体" w:cs="宋体"/>
                <w:bCs/>
                <w:color w:val="000000"/>
                <w:sz w:val="24"/>
                <w:szCs w:val="24"/>
                <w:lang w:val="zh-CN"/>
              </w:rPr>
              <w:t>合同履行期限</w:t>
            </w:r>
          </w:p>
        </w:tc>
        <w:tc>
          <w:tcPr>
            <w:tcW w:w="732" w:type="pct"/>
            <w:vAlign w:val="center"/>
          </w:tcPr>
          <w:p w14:paraId="697C84B8">
            <w:pPr>
              <w:widowControl/>
              <w:tabs>
                <w:tab w:val="left" w:pos="1197"/>
              </w:tabs>
              <w:autoSpaceDE w:val="0"/>
              <w:autoSpaceDN w:val="0"/>
              <w:ind w:right="215"/>
              <w:jc w:val="center"/>
              <w:textAlignment w:val="bottom"/>
              <w:rPr>
                <w:rFonts w:hint="eastAsia" w:ascii="宋体" w:hAnsi="宋体" w:cs="宋体"/>
                <w:bCs/>
                <w:color w:val="000000"/>
                <w:sz w:val="24"/>
                <w:szCs w:val="24"/>
                <w:lang w:val="zh-CN"/>
              </w:rPr>
            </w:pPr>
            <w:r>
              <w:rPr>
                <w:rFonts w:hint="eastAsia" w:ascii="宋体" w:hAnsi="宋体" w:cs="宋体"/>
                <w:bCs/>
                <w:color w:val="000000"/>
                <w:sz w:val="24"/>
                <w:szCs w:val="24"/>
                <w:lang w:val="zh-CN"/>
              </w:rPr>
              <w:t>备注</w:t>
            </w:r>
          </w:p>
        </w:tc>
      </w:tr>
      <w:tr w14:paraId="6D3D0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47" w:type="pct"/>
            <w:vAlign w:val="center"/>
          </w:tcPr>
          <w:p w14:paraId="38B0A1BC">
            <w:pPr>
              <w:widowControl/>
              <w:tabs>
                <w:tab w:val="left" w:pos="1197"/>
              </w:tabs>
              <w:autoSpaceDE w:val="0"/>
              <w:autoSpaceDN w:val="0"/>
              <w:ind w:right="215"/>
              <w:jc w:val="center"/>
              <w:textAlignment w:val="bottom"/>
              <w:rPr>
                <w:rFonts w:hint="eastAsia" w:ascii="宋体" w:hAnsi="宋体" w:cs="宋体"/>
                <w:bCs/>
                <w:color w:val="000000"/>
                <w:sz w:val="24"/>
                <w:szCs w:val="24"/>
                <w:lang w:val="zh-CN"/>
              </w:rPr>
            </w:pPr>
          </w:p>
        </w:tc>
        <w:tc>
          <w:tcPr>
            <w:tcW w:w="1052" w:type="pct"/>
            <w:vAlign w:val="center"/>
          </w:tcPr>
          <w:p w14:paraId="6B39702D">
            <w:pPr>
              <w:widowControl/>
              <w:tabs>
                <w:tab w:val="left" w:pos="1197"/>
              </w:tabs>
              <w:autoSpaceDE w:val="0"/>
              <w:autoSpaceDN w:val="0"/>
              <w:ind w:right="215"/>
              <w:jc w:val="center"/>
              <w:textAlignment w:val="bottom"/>
              <w:rPr>
                <w:rFonts w:hint="eastAsia" w:ascii="宋体" w:hAnsi="宋体" w:cs="宋体"/>
                <w:bCs/>
                <w:color w:val="000000"/>
                <w:sz w:val="24"/>
                <w:szCs w:val="24"/>
                <w:lang w:val="zh-CN"/>
              </w:rPr>
            </w:pPr>
          </w:p>
        </w:tc>
        <w:tc>
          <w:tcPr>
            <w:tcW w:w="1125" w:type="pct"/>
            <w:vAlign w:val="center"/>
          </w:tcPr>
          <w:p w14:paraId="1591681C">
            <w:pPr>
              <w:widowControl/>
              <w:tabs>
                <w:tab w:val="left" w:pos="1197"/>
              </w:tabs>
              <w:autoSpaceDE w:val="0"/>
              <w:autoSpaceDN w:val="0"/>
              <w:ind w:right="215"/>
              <w:jc w:val="center"/>
              <w:textAlignment w:val="bottom"/>
              <w:rPr>
                <w:rFonts w:hint="eastAsia" w:ascii="宋体" w:hAnsi="宋体" w:cs="宋体"/>
                <w:bCs/>
                <w:color w:val="000000"/>
                <w:sz w:val="24"/>
                <w:szCs w:val="24"/>
                <w:lang w:val="zh-CN"/>
              </w:rPr>
            </w:pPr>
          </w:p>
        </w:tc>
        <w:tc>
          <w:tcPr>
            <w:tcW w:w="742" w:type="pct"/>
          </w:tcPr>
          <w:p w14:paraId="0653B418">
            <w:pPr>
              <w:widowControl/>
              <w:tabs>
                <w:tab w:val="left" w:pos="1197"/>
              </w:tabs>
              <w:autoSpaceDE w:val="0"/>
              <w:autoSpaceDN w:val="0"/>
              <w:ind w:right="215"/>
              <w:jc w:val="center"/>
              <w:textAlignment w:val="bottom"/>
              <w:rPr>
                <w:rFonts w:hint="eastAsia" w:ascii="宋体" w:hAnsi="宋体" w:cs="宋体"/>
                <w:bCs/>
                <w:color w:val="000000"/>
                <w:sz w:val="24"/>
                <w:szCs w:val="24"/>
                <w:lang w:val="zh-CN"/>
              </w:rPr>
            </w:pPr>
          </w:p>
        </w:tc>
        <w:tc>
          <w:tcPr>
            <w:tcW w:w="732" w:type="pct"/>
          </w:tcPr>
          <w:p w14:paraId="5430BFDB">
            <w:pPr>
              <w:widowControl/>
              <w:tabs>
                <w:tab w:val="left" w:pos="1197"/>
              </w:tabs>
              <w:autoSpaceDE w:val="0"/>
              <w:autoSpaceDN w:val="0"/>
              <w:ind w:right="215"/>
              <w:jc w:val="center"/>
              <w:textAlignment w:val="bottom"/>
              <w:rPr>
                <w:rFonts w:hint="eastAsia" w:ascii="宋体" w:hAnsi="宋体" w:cs="宋体"/>
                <w:bCs/>
                <w:color w:val="000000"/>
                <w:sz w:val="24"/>
                <w:szCs w:val="24"/>
                <w:lang w:val="zh-CN"/>
              </w:rPr>
            </w:pPr>
          </w:p>
        </w:tc>
      </w:tr>
    </w:tbl>
    <w:p w14:paraId="58EE4147">
      <w:pPr>
        <w:autoSpaceDE w:val="0"/>
        <w:autoSpaceDN w:val="0"/>
        <w:adjustRightInd w:val="0"/>
        <w:ind w:firstLine="360" w:firstLineChars="150"/>
        <w:rPr>
          <w:rFonts w:hint="eastAsia" w:ascii="宋体" w:hAnsi="宋体" w:cs="宋体"/>
          <w:bCs/>
          <w:color w:val="000000"/>
          <w:sz w:val="24"/>
          <w:szCs w:val="24"/>
          <w:lang w:val="zh-CN"/>
        </w:rPr>
      </w:pPr>
    </w:p>
    <w:p w14:paraId="474B371B">
      <w:pPr>
        <w:autoSpaceDE w:val="0"/>
        <w:autoSpaceDN w:val="0"/>
        <w:adjustRightInd w:val="0"/>
        <w:spacing w:line="360" w:lineRule="auto"/>
        <w:rPr>
          <w:rFonts w:hint="eastAsia" w:ascii="宋体" w:hAnsi="宋体" w:cs="宋体"/>
          <w:bCs/>
          <w:color w:val="000000"/>
          <w:sz w:val="24"/>
          <w:szCs w:val="24"/>
          <w:lang w:val="zh-CN"/>
        </w:rPr>
      </w:pPr>
      <w:r>
        <w:rPr>
          <w:rFonts w:hint="eastAsia" w:ascii="宋体" w:hAnsi="宋体" w:cs="宋体"/>
          <w:bCs/>
          <w:color w:val="000000"/>
          <w:sz w:val="24"/>
          <w:szCs w:val="24"/>
          <w:lang w:val="zh-CN"/>
        </w:rPr>
        <w:t>投标要求：</w:t>
      </w:r>
    </w:p>
    <w:p w14:paraId="2B8DD962">
      <w:pPr>
        <w:numPr>
          <w:ilvl w:val="0"/>
          <w:numId w:val="10"/>
        </w:numPr>
        <w:autoSpaceDE w:val="0"/>
        <w:autoSpaceDN w:val="0"/>
        <w:adjustRightInd w:val="0"/>
        <w:spacing w:line="360" w:lineRule="auto"/>
        <w:ind w:firstLine="480"/>
        <w:rPr>
          <w:rFonts w:hint="eastAsia" w:ascii="宋体" w:hAnsi="宋体" w:cs="宋体"/>
          <w:bCs/>
          <w:color w:val="000000"/>
          <w:sz w:val="24"/>
          <w:szCs w:val="24"/>
          <w:lang w:val="zh-CN"/>
        </w:rPr>
      </w:pPr>
      <w:r>
        <w:rPr>
          <w:rFonts w:hint="eastAsia" w:ascii="宋体" w:hAnsi="宋体" w:cs="宋体"/>
          <w:bCs/>
          <w:color w:val="000000"/>
          <w:sz w:val="24"/>
          <w:szCs w:val="24"/>
          <w:lang w:val="zh-CN"/>
        </w:rPr>
        <w:t>“开标一览表”用于开标时唱标使用。</w:t>
      </w:r>
    </w:p>
    <w:p w14:paraId="7BD93E85">
      <w:pPr>
        <w:autoSpaceDE w:val="0"/>
        <w:autoSpaceDN w:val="0"/>
        <w:adjustRightInd w:val="0"/>
        <w:spacing w:line="360" w:lineRule="auto"/>
        <w:ind w:firstLine="480" w:firstLineChars="200"/>
        <w:rPr>
          <w:rFonts w:hint="eastAsia" w:ascii="宋体" w:hAnsi="宋体" w:cs="宋体"/>
          <w:bCs/>
          <w:color w:val="000000"/>
          <w:sz w:val="24"/>
          <w:szCs w:val="24"/>
          <w:lang w:val="zh-CN"/>
        </w:rPr>
      </w:pPr>
      <w:r>
        <w:rPr>
          <w:rFonts w:hint="eastAsia" w:ascii="宋体" w:hAnsi="宋体" w:cs="宋体"/>
          <w:bCs/>
          <w:color w:val="000000"/>
          <w:sz w:val="24"/>
          <w:szCs w:val="24"/>
        </w:rPr>
        <w:t>2</w:t>
      </w:r>
      <w:r>
        <w:rPr>
          <w:rFonts w:hint="eastAsia" w:ascii="宋体" w:hAnsi="宋体" w:cs="宋体"/>
          <w:bCs/>
          <w:color w:val="000000"/>
          <w:sz w:val="24"/>
          <w:szCs w:val="24"/>
          <w:lang w:val="zh-CN"/>
        </w:rPr>
        <w:t>、“开标一览表”中各个栏目都必须完整、准确填写。开标时，“开标一览表”的所有内容都不允许补充或者修改。</w:t>
      </w:r>
    </w:p>
    <w:p w14:paraId="58405DD0">
      <w:pPr>
        <w:widowControl/>
        <w:tabs>
          <w:tab w:val="left" w:pos="525"/>
        </w:tabs>
        <w:autoSpaceDE w:val="0"/>
        <w:autoSpaceDN w:val="0"/>
        <w:spacing w:line="360" w:lineRule="auto"/>
        <w:ind w:right="1" w:firstLine="465"/>
        <w:textAlignment w:val="bottom"/>
        <w:rPr>
          <w:rFonts w:hint="eastAsia" w:ascii="宋体" w:hAnsi="宋体" w:cs="宋体"/>
          <w:bCs/>
          <w:color w:val="000000"/>
          <w:sz w:val="24"/>
          <w:szCs w:val="24"/>
          <w:lang w:val="zh-CN"/>
        </w:rPr>
      </w:pPr>
      <w:r>
        <w:rPr>
          <w:rFonts w:hint="eastAsia" w:ascii="宋体" w:hAnsi="宋体" w:cs="宋体"/>
          <w:bCs/>
          <w:color w:val="000000"/>
          <w:sz w:val="24"/>
          <w:szCs w:val="24"/>
        </w:rPr>
        <w:t>3</w:t>
      </w:r>
      <w:r>
        <w:rPr>
          <w:rFonts w:hint="eastAsia" w:ascii="宋体" w:hAnsi="宋体" w:cs="宋体"/>
          <w:bCs/>
          <w:color w:val="000000"/>
          <w:sz w:val="24"/>
          <w:szCs w:val="24"/>
          <w:lang w:val="zh-CN"/>
        </w:rPr>
        <w:t>、投标报价为货物送交合同指定的最终供货地点，含安装费等在内的综合价。</w:t>
      </w:r>
    </w:p>
    <w:p w14:paraId="385BEB2D">
      <w:pPr>
        <w:widowControl/>
        <w:tabs>
          <w:tab w:val="left" w:pos="525"/>
        </w:tabs>
        <w:autoSpaceDE w:val="0"/>
        <w:autoSpaceDN w:val="0"/>
        <w:spacing w:line="360" w:lineRule="auto"/>
        <w:ind w:right="1" w:firstLine="465"/>
        <w:textAlignment w:val="bottom"/>
        <w:rPr>
          <w:rFonts w:hint="eastAsia" w:ascii="宋体" w:hAnsi="宋体" w:cs="宋体"/>
          <w:bCs/>
          <w:color w:val="000000"/>
          <w:sz w:val="24"/>
          <w:szCs w:val="24"/>
          <w:lang w:val="zh-CN"/>
        </w:rPr>
      </w:pPr>
      <w:r>
        <w:rPr>
          <w:rFonts w:hint="eastAsia" w:ascii="宋体" w:hAnsi="宋体" w:cs="宋体"/>
          <w:bCs/>
          <w:color w:val="000000"/>
          <w:sz w:val="24"/>
          <w:szCs w:val="24"/>
        </w:rPr>
        <w:t>4</w:t>
      </w:r>
      <w:r>
        <w:rPr>
          <w:rFonts w:hint="eastAsia" w:ascii="宋体" w:hAnsi="宋体" w:cs="宋体"/>
          <w:bCs/>
          <w:color w:val="000000"/>
          <w:sz w:val="24"/>
          <w:szCs w:val="24"/>
          <w:lang w:val="zh-CN"/>
        </w:rPr>
        <w:t>、投标总价应包括如果授予合同将要缴纳的包括增值税在内的销售税和其他税。</w:t>
      </w:r>
    </w:p>
    <w:p w14:paraId="3959E56E">
      <w:pPr>
        <w:autoSpaceDE w:val="0"/>
        <w:autoSpaceDN w:val="0"/>
        <w:adjustRightInd w:val="0"/>
        <w:rPr>
          <w:rFonts w:hint="eastAsia" w:ascii="宋体" w:hAnsi="宋体" w:cs="宋体"/>
          <w:bCs/>
          <w:color w:val="000000"/>
          <w:szCs w:val="21"/>
          <w:lang w:val="zh-CN"/>
        </w:rPr>
      </w:pPr>
    </w:p>
    <w:p w14:paraId="48C37CC2">
      <w:pPr>
        <w:jc w:val="center"/>
        <w:rPr>
          <w:rFonts w:hint="eastAsia" w:ascii="宋体" w:hAnsi="宋体" w:cs="宋体"/>
          <w:b/>
          <w:color w:val="000000"/>
          <w:sz w:val="28"/>
          <w:szCs w:val="28"/>
        </w:rPr>
      </w:pPr>
    </w:p>
    <w:p w14:paraId="0E96097A">
      <w:pPr>
        <w:jc w:val="center"/>
        <w:rPr>
          <w:rFonts w:hint="eastAsia" w:ascii="宋体" w:hAnsi="宋体" w:cs="宋体"/>
          <w:b/>
          <w:color w:val="000000"/>
          <w:sz w:val="28"/>
          <w:szCs w:val="28"/>
        </w:rPr>
      </w:pPr>
    </w:p>
    <w:p w14:paraId="2CF64F7C"/>
    <w:p w14:paraId="00540A70">
      <w:pPr>
        <w:jc w:val="center"/>
        <w:rPr>
          <w:rFonts w:hint="eastAsia" w:ascii="宋体" w:hAnsi="宋体" w:cs="宋体"/>
          <w:b/>
          <w:color w:val="000000"/>
          <w:sz w:val="28"/>
          <w:szCs w:val="28"/>
        </w:rPr>
      </w:pPr>
    </w:p>
    <w:p w14:paraId="33211B9E">
      <w:pPr>
        <w:pStyle w:val="16"/>
      </w:pPr>
    </w:p>
    <w:p w14:paraId="182D4755">
      <w:pPr>
        <w:jc w:val="center"/>
        <w:rPr>
          <w:rFonts w:hint="eastAsia" w:ascii="宋体" w:hAnsi="宋体" w:cs="宋体"/>
          <w:b/>
          <w:color w:val="000000"/>
          <w:sz w:val="28"/>
          <w:szCs w:val="28"/>
        </w:rPr>
      </w:pPr>
      <w:r>
        <w:rPr>
          <w:rFonts w:hint="eastAsia" w:ascii="宋体" w:hAnsi="宋体" w:cs="宋体"/>
          <w:b/>
          <w:color w:val="000000"/>
          <w:sz w:val="28"/>
          <w:szCs w:val="28"/>
        </w:rPr>
        <w:t>三、投标报价明细表</w:t>
      </w:r>
    </w:p>
    <w:p w14:paraId="1C163BF5">
      <w:pPr>
        <w:jc w:val="center"/>
        <w:rPr>
          <w:rFonts w:hint="eastAsia" w:ascii="宋体" w:hAnsi="宋体" w:cs="宋体"/>
          <w:color w:val="000000"/>
          <w:szCs w:val="21"/>
        </w:rPr>
      </w:pPr>
    </w:p>
    <w:p w14:paraId="1C06E2B3">
      <w:pPr>
        <w:rPr>
          <w:rFonts w:hint="eastAsia" w:ascii="宋体" w:hAnsi="宋体" w:cs="宋体"/>
          <w:color w:val="000000"/>
          <w:szCs w:val="21"/>
        </w:rPr>
      </w:pPr>
    </w:p>
    <w:p w14:paraId="4F33A573">
      <w:pPr>
        <w:rPr>
          <w:rFonts w:hint="eastAsia" w:ascii="宋体" w:hAnsi="宋体" w:cs="宋体"/>
          <w:color w:val="000000"/>
          <w:sz w:val="24"/>
          <w:szCs w:val="24"/>
        </w:rPr>
      </w:pPr>
      <w:r>
        <w:rPr>
          <w:rFonts w:hint="eastAsia" w:ascii="宋体" w:hAnsi="宋体" w:cs="宋体"/>
          <w:color w:val="000000"/>
          <w:sz w:val="24"/>
          <w:szCs w:val="24"/>
        </w:rPr>
        <w:t>项目名称：                                 项目编号：                                                  单位：元人民币</w:t>
      </w:r>
    </w:p>
    <w:tbl>
      <w:tblPr>
        <w:tblStyle w:val="78"/>
        <w:tblW w:w="4997"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10"/>
        <w:gridCol w:w="2275"/>
        <w:gridCol w:w="1145"/>
        <w:gridCol w:w="1265"/>
        <w:gridCol w:w="1456"/>
        <w:gridCol w:w="1456"/>
        <w:gridCol w:w="1456"/>
        <w:gridCol w:w="1456"/>
        <w:gridCol w:w="989"/>
        <w:gridCol w:w="1025"/>
        <w:gridCol w:w="1242"/>
      </w:tblGrid>
      <w:tr w14:paraId="4C9B5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310" w:type="pct"/>
          </w:tcPr>
          <w:p w14:paraId="0B5EFE01">
            <w:pPr>
              <w:spacing w:line="251" w:lineRule="auto"/>
              <w:rPr>
                <w:rFonts w:hint="eastAsia" w:ascii="宋体" w:hAnsi="宋体" w:cs="宋体"/>
                <w:sz w:val="24"/>
                <w:szCs w:val="24"/>
              </w:rPr>
            </w:pPr>
          </w:p>
          <w:p w14:paraId="56431BF1">
            <w:pPr>
              <w:spacing w:before="78" w:line="222" w:lineRule="auto"/>
              <w:ind w:left="210"/>
              <w:rPr>
                <w:rFonts w:hint="eastAsia" w:ascii="宋体" w:hAnsi="宋体" w:cs="宋体"/>
                <w:sz w:val="24"/>
                <w:szCs w:val="24"/>
              </w:rPr>
            </w:pPr>
            <w:r>
              <w:rPr>
                <w:rFonts w:hint="eastAsia" w:ascii="宋体" w:hAnsi="宋体" w:cs="宋体"/>
                <w:spacing w:val="-3"/>
                <w:sz w:val="24"/>
                <w:szCs w:val="24"/>
                <w14:textOutline w14:w="1536" w14:cap="flat" w14:cmpd="sng" w14:algn="ctr">
                  <w14:solidFill>
                    <w14:srgbClr w14:val="000000"/>
                  </w14:solidFill>
                  <w14:prstDash w14:val="solid"/>
                  <w14:miter w14:val="0"/>
                </w14:textOutline>
              </w:rPr>
              <w:t>序</w:t>
            </w:r>
            <w:r>
              <w:rPr>
                <w:rFonts w:hint="eastAsia" w:ascii="宋体" w:hAnsi="宋体" w:cs="宋体"/>
                <w:spacing w:val="-2"/>
                <w:sz w:val="24"/>
                <w:szCs w:val="24"/>
                <w14:textOutline w14:w="1536" w14:cap="flat" w14:cmpd="sng" w14:algn="ctr">
                  <w14:solidFill>
                    <w14:srgbClr w14:val="000000"/>
                  </w14:solidFill>
                  <w14:prstDash w14:val="solid"/>
                  <w14:miter w14:val="0"/>
                </w14:textOutline>
              </w:rPr>
              <w:t>号</w:t>
            </w:r>
          </w:p>
        </w:tc>
        <w:tc>
          <w:tcPr>
            <w:tcW w:w="775" w:type="pct"/>
          </w:tcPr>
          <w:p w14:paraId="6793D380">
            <w:pPr>
              <w:spacing w:line="252" w:lineRule="auto"/>
              <w:rPr>
                <w:rFonts w:hint="eastAsia" w:ascii="宋体" w:hAnsi="宋体" w:cs="宋体"/>
                <w:sz w:val="24"/>
                <w:szCs w:val="24"/>
              </w:rPr>
            </w:pPr>
          </w:p>
          <w:p w14:paraId="2D25C55F">
            <w:pPr>
              <w:spacing w:before="78" w:line="221" w:lineRule="auto"/>
              <w:ind w:left="634"/>
              <w:rPr>
                <w:rFonts w:hint="eastAsia" w:ascii="宋体" w:hAnsi="宋体" w:cs="宋体"/>
                <w:sz w:val="24"/>
                <w:szCs w:val="24"/>
              </w:rPr>
            </w:pPr>
            <w:r>
              <w:rPr>
                <w:rFonts w:hint="eastAsia" w:ascii="宋体" w:hAnsi="宋体" w:cs="宋体"/>
                <w:spacing w:val="-4"/>
                <w:sz w:val="24"/>
                <w:szCs w:val="24"/>
                <w14:textOutline w14:w="1536" w14:cap="flat" w14:cmpd="sng" w14:algn="ctr">
                  <w14:solidFill>
                    <w14:srgbClr w14:val="000000"/>
                  </w14:solidFill>
                  <w14:prstDash w14:val="solid"/>
                  <w14:miter w14:val="0"/>
                </w14:textOutline>
              </w:rPr>
              <w:t>分</w:t>
            </w:r>
            <w:r>
              <w:rPr>
                <w:rFonts w:hint="eastAsia" w:ascii="宋体" w:hAnsi="宋体" w:cs="宋体"/>
                <w:spacing w:val="-2"/>
                <w:sz w:val="24"/>
                <w:szCs w:val="24"/>
                <w14:textOutline w14:w="1536" w14:cap="flat" w14:cmpd="sng" w14:algn="ctr">
                  <w14:solidFill>
                    <w14:srgbClr w14:val="000000"/>
                  </w14:solidFill>
                  <w14:prstDash w14:val="solid"/>
                  <w14:miter w14:val="0"/>
                </w14:textOutline>
              </w:rPr>
              <w:t>项名称</w:t>
            </w:r>
          </w:p>
        </w:tc>
        <w:tc>
          <w:tcPr>
            <w:tcW w:w="390" w:type="pct"/>
          </w:tcPr>
          <w:p w14:paraId="1D118842">
            <w:pPr>
              <w:spacing w:line="252" w:lineRule="auto"/>
              <w:rPr>
                <w:rFonts w:hint="eastAsia" w:ascii="宋体" w:hAnsi="宋体" w:cs="宋体"/>
                <w:sz w:val="24"/>
                <w:szCs w:val="24"/>
              </w:rPr>
            </w:pPr>
          </w:p>
          <w:p w14:paraId="44A50F0A">
            <w:pPr>
              <w:spacing w:before="78" w:line="221" w:lineRule="auto"/>
              <w:ind w:left="203"/>
              <w:rPr>
                <w:rFonts w:hint="eastAsia" w:ascii="宋体" w:hAnsi="宋体" w:cs="宋体"/>
                <w:sz w:val="24"/>
                <w:szCs w:val="24"/>
              </w:rPr>
            </w:pPr>
            <w:r>
              <w:rPr>
                <w:rFonts w:hint="eastAsia" w:ascii="宋体" w:hAnsi="宋体" w:cs="宋体"/>
                <w:spacing w:val="-4"/>
                <w:sz w:val="24"/>
                <w:szCs w:val="24"/>
                <w14:textOutline w14:w="1536" w14:cap="flat" w14:cmpd="sng" w14:algn="ctr">
                  <w14:solidFill>
                    <w14:srgbClr w14:val="000000"/>
                  </w14:solidFill>
                  <w14:prstDash w14:val="solid"/>
                  <w14:miter w14:val="0"/>
                </w14:textOutline>
              </w:rPr>
              <w:t>制</w:t>
            </w:r>
            <w:r>
              <w:rPr>
                <w:rFonts w:hint="eastAsia" w:ascii="宋体" w:hAnsi="宋体" w:cs="宋体"/>
                <w:spacing w:val="-2"/>
                <w:sz w:val="24"/>
                <w:szCs w:val="24"/>
                <w14:textOutline w14:w="1536" w14:cap="flat" w14:cmpd="sng" w14:algn="ctr">
                  <w14:solidFill>
                    <w14:srgbClr w14:val="000000"/>
                  </w14:solidFill>
                  <w14:prstDash w14:val="solid"/>
                  <w14:miter w14:val="0"/>
                </w14:textOutline>
              </w:rPr>
              <w:t>造商</w:t>
            </w:r>
          </w:p>
        </w:tc>
        <w:tc>
          <w:tcPr>
            <w:tcW w:w="431" w:type="pct"/>
          </w:tcPr>
          <w:p w14:paraId="0B3EBBEB">
            <w:pPr>
              <w:spacing w:before="100" w:line="381" w:lineRule="exact"/>
              <w:ind w:left="215"/>
              <w:rPr>
                <w:rFonts w:hint="eastAsia" w:ascii="宋体" w:hAnsi="宋体" w:cs="宋体"/>
                <w:sz w:val="24"/>
                <w:szCs w:val="24"/>
              </w:rPr>
            </w:pPr>
            <w:r>
              <w:rPr>
                <w:rFonts w:hint="eastAsia" w:ascii="宋体" w:hAnsi="宋体" w:cs="宋体"/>
                <w:spacing w:val="6"/>
                <w:position w:val="3"/>
                <w:sz w:val="24"/>
                <w:szCs w:val="24"/>
                <w14:textOutline w14:w="1536" w14:cap="flat" w14:cmpd="sng" w14:algn="ctr">
                  <w14:solidFill>
                    <w14:srgbClr w14:val="000000"/>
                  </w14:solidFill>
                  <w14:prstDash w14:val="solid"/>
                  <w14:miter w14:val="0"/>
                </w14:textOutline>
              </w:rPr>
              <w:t>产</w:t>
            </w:r>
            <w:r>
              <w:rPr>
                <w:rFonts w:hint="eastAsia" w:ascii="宋体" w:hAnsi="宋体" w:cs="宋体"/>
                <w:spacing w:val="3"/>
                <w:position w:val="3"/>
                <w:sz w:val="24"/>
                <w:szCs w:val="24"/>
                <w14:textOutline w14:w="1536" w14:cap="flat" w14:cmpd="sng" w14:algn="ctr">
                  <w14:solidFill>
                    <w14:srgbClr w14:val="000000"/>
                  </w14:solidFill>
                  <w14:prstDash w14:val="solid"/>
                  <w14:miter w14:val="0"/>
                </w14:textOutline>
              </w:rPr>
              <w:t>地</w:t>
            </w:r>
            <w:r>
              <w:rPr>
                <w:rFonts w:hint="eastAsia" w:ascii="宋体" w:hAnsi="宋体" w:cs="宋体"/>
                <w:b/>
                <w:bCs/>
                <w:spacing w:val="3"/>
                <w:position w:val="3"/>
                <w:sz w:val="24"/>
                <w:szCs w:val="24"/>
              </w:rPr>
              <w:t>/</w:t>
            </w:r>
            <w:r>
              <w:rPr>
                <w:rFonts w:hint="eastAsia" w:ascii="宋体" w:hAnsi="宋体" w:cs="宋体"/>
                <w:spacing w:val="3"/>
                <w:position w:val="3"/>
                <w:sz w:val="24"/>
                <w:szCs w:val="24"/>
                <w14:textOutline w14:w="1536" w14:cap="flat" w14:cmpd="sng" w14:algn="ctr">
                  <w14:solidFill>
                    <w14:srgbClr w14:val="000000"/>
                  </w14:solidFill>
                  <w14:prstDash w14:val="solid"/>
                  <w14:miter w14:val="0"/>
                </w14:textOutline>
              </w:rPr>
              <w:t>国</w:t>
            </w:r>
          </w:p>
          <w:p w14:paraId="00BBCC37">
            <w:pPr>
              <w:spacing w:before="5" w:line="221" w:lineRule="auto"/>
              <w:ind w:left="501"/>
              <w:rPr>
                <w:rFonts w:hint="eastAsia" w:ascii="宋体" w:hAnsi="宋体" w:cs="宋体"/>
                <w:sz w:val="24"/>
                <w:szCs w:val="24"/>
              </w:rPr>
            </w:pPr>
            <w:r>
              <w:rPr>
                <w:rFonts w:hint="eastAsia" w:ascii="宋体" w:hAnsi="宋体" w:cs="宋体"/>
                <w:sz w:val="24"/>
                <w:szCs w:val="24"/>
                <w14:textOutline w14:w="1536" w14:cap="flat" w14:cmpd="sng" w14:algn="ctr">
                  <w14:solidFill>
                    <w14:srgbClr w14:val="000000"/>
                  </w14:solidFill>
                  <w14:prstDash w14:val="solid"/>
                  <w14:miter w14:val="0"/>
                </w14:textOutline>
              </w:rPr>
              <w:t>别</w:t>
            </w:r>
          </w:p>
        </w:tc>
        <w:tc>
          <w:tcPr>
            <w:tcW w:w="496" w:type="pct"/>
          </w:tcPr>
          <w:p w14:paraId="3F96030B">
            <w:pPr>
              <w:spacing w:before="19" w:line="221" w:lineRule="auto"/>
              <w:ind w:left="353"/>
              <w:rPr>
                <w:rFonts w:hint="eastAsia" w:ascii="宋体" w:hAnsi="宋体" w:cs="宋体"/>
                <w:sz w:val="24"/>
                <w:szCs w:val="24"/>
              </w:rPr>
            </w:pPr>
            <w:r>
              <w:rPr>
                <w:rFonts w:hint="eastAsia" w:ascii="宋体" w:hAnsi="宋体" w:cs="宋体"/>
                <w:spacing w:val="-4"/>
                <w:sz w:val="24"/>
                <w:szCs w:val="24"/>
                <w14:textOutline w14:w="1536" w14:cap="flat" w14:cmpd="sng" w14:algn="ctr">
                  <w14:solidFill>
                    <w14:srgbClr w14:val="000000"/>
                  </w14:solidFill>
                  <w14:prstDash w14:val="solid"/>
                  <w14:miter w14:val="0"/>
                </w14:textOutline>
              </w:rPr>
              <w:t>制</w:t>
            </w:r>
            <w:r>
              <w:rPr>
                <w:rFonts w:hint="eastAsia" w:ascii="宋体" w:hAnsi="宋体" w:cs="宋体"/>
                <w:spacing w:val="-2"/>
                <w:sz w:val="24"/>
                <w:szCs w:val="24"/>
                <w14:textOutline w14:w="1536" w14:cap="flat" w14:cmpd="sng" w14:algn="ctr">
                  <w14:solidFill>
                    <w14:srgbClr w14:val="000000"/>
                  </w14:solidFill>
                  <w14:prstDash w14:val="solid"/>
                  <w14:miter w14:val="0"/>
                </w14:textOutline>
              </w:rPr>
              <w:t>造商</w:t>
            </w:r>
          </w:p>
          <w:p w14:paraId="78FF8526">
            <w:pPr>
              <w:spacing w:before="25" w:line="220" w:lineRule="auto"/>
              <w:ind w:left="238"/>
              <w:rPr>
                <w:rFonts w:hint="eastAsia" w:ascii="宋体" w:hAnsi="宋体" w:cs="宋体"/>
                <w:sz w:val="24"/>
                <w:szCs w:val="24"/>
              </w:rPr>
            </w:pPr>
            <w:r>
              <w:rPr>
                <w:rFonts w:hint="eastAsia" w:ascii="宋体" w:hAnsi="宋体" w:cs="宋体"/>
                <w:spacing w:val="-4"/>
                <w:sz w:val="24"/>
                <w:szCs w:val="24"/>
                <w14:textOutline w14:w="1536" w14:cap="flat" w14:cmpd="sng" w14:algn="ctr">
                  <w14:solidFill>
                    <w14:srgbClr w14:val="000000"/>
                  </w14:solidFill>
                  <w14:prstDash w14:val="solid"/>
                  <w14:miter w14:val="0"/>
                </w14:textOutline>
              </w:rPr>
              <w:t>统</w:t>
            </w:r>
            <w:r>
              <w:rPr>
                <w:rFonts w:hint="eastAsia" w:ascii="宋体" w:hAnsi="宋体" w:cs="宋体"/>
                <w:spacing w:val="-3"/>
                <w:sz w:val="24"/>
                <w:szCs w:val="24"/>
                <w14:textOutline w14:w="1536" w14:cap="flat" w14:cmpd="sng" w14:algn="ctr">
                  <w14:solidFill>
                    <w14:srgbClr w14:val="000000"/>
                  </w14:solidFill>
                  <w14:prstDash w14:val="solid"/>
                  <w14:miter w14:val="0"/>
                </w14:textOutline>
              </w:rPr>
              <w:t>一信用</w:t>
            </w:r>
          </w:p>
          <w:p w14:paraId="7DA40B65">
            <w:pPr>
              <w:spacing w:before="25" w:line="220" w:lineRule="auto"/>
              <w:ind w:left="471"/>
              <w:rPr>
                <w:rFonts w:hint="eastAsia" w:ascii="宋体" w:hAnsi="宋体" w:cs="宋体"/>
                <w:sz w:val="24"/>
                <w:szCs w:val="24"/>
              </w:rPr>
            </w:pPr>
            <w:r>
              <w:rPr>
                <w:rFonts w:hint="eastAsia" w:ascii="宋体" w:hAnsi="宋体" w:cs="宋体"/>
                <w:spacing w:val="-3"/>
                <w:sz w:val="24"/>
                <w:szCs w:val="24"/>
                <w14:textOutline w14:w="1536" w14:cap="flat" w14:cmpd="sng" w14:algn="ctr">
                  <w14:solidFill>
                    <w14:srgbClr w14:val="000000"/>
                  </w14:solidFill>
                  <w14:prstDash w14:val="solid"/>
                  <w14:miter w14:val="0"/>
                </w14:textOutline>
              </w:rPr>
              <w:t>代</w:t>
            </w:r>
            <w:r>
              <w:rPr>
                <w:rFonts w:hint="eastAsia" w:ascii="宋体" w:hAnsi="宋体" w:cs="宋体"/>
                <w:spacing w:val="-2"/>
                <w:sz w:val="24"/>
                <w:szCs w:val="24"/>
                <w14:textOutline w14:w="1536" w14:cap="flat" w14:cmpd="sng" w14:algn="ctr">
                  <w14:solidFill>
                    <w14:srgbClr w14:val="000000"/>
                  </w14:solidFill>
                  <w14:prstDash w14:val="solid"/>
                  <w14:miter w14:val="0"/>
                </w14:textOutline>
              </w:rPr>
              <w:t>码</w:t>
            </w:r>
          </w:p>
        </w:tc>
        <w:tc>
          <w:tcPr>
            <w:tcW w:w="496" w:type="pct"/>
          </w:tcPr>
          <w:p w14:paraId="195626FE">
            <w:pPr>
              <w:spacing w:before="176"/>
              <w:ind w:left="355"/>
              <w:rPr>
                <w:rFonts w:hint="eastAsia" w:ascii="宋体" w:hAnsi="宋体" w:cs="宋体"/>
                <w:sz w:val="24"/>
                <w:szCs w:val="24"/>
              </w:rPr>
            </w:pPr>
            <w:r>
              <w:rPr>
                <w:rFonts w:hint="eastAsia" w:ascii="宋体" w:hAnsi="宋体" w:cs="宋体"/>
                <w:spacing w:val="-4"/>
                <w:sz w:val="24"/>
                <w:szCs w:val="24"/>
                <w14:textOutline w14:w="1536" w14:cap="flat" w14:cmpd="sng" w14:algn="ctr">
                  <w14:solidFill>
                    <w14:srgbClr w14:val="000000"/>
                  </w14:solidFill>
                  <w14:prstDash w14:val="solid"/>
                  <w14:miter w14:val="0"/>
                </w14:textOutline>
              </w:rPr>
              <w:t>制</w:t>
            </w:r>
            <w:r>
              <w:rPr>
                <w:rFonts w:hint="eastAsia" w:ascii="宋体" w:hAnsi="宋体" w:cs="宋体"/>
                <w:spacing w:val="-2"/>
                <w:sz w:val="24"/>
                <w:szCs w:val="24"/>
                <w14:textOutline w14:w="1536" w14:cap="flat" w14:cmpd="sng" w14:algn="ctr">
                  <w14:solidFill>
                    <w14:srgbClr w14:val="000000"/>
                  </w14:solidFill>
                  <w14:prstDash w14:val="solid"/>
                  <w14:miter w14:val="0"/>
                </w14:textOutline>
              </w:rPr>
              <w:t>造商</w:t>
            </w:r>
          </w:p>
          <w:p w14:paraId="19229726">
            <w:pPr>
              <w:spacing w:line="220" w:lineRule="auto"/>
              <w:ind w:left="475"/>
              <w:rPr>
                <w:rFonts w:hint="eastAsia" w:ascii="宋体" w:hAnsi="宋体" w:cs="宋体"/>
                <w:sz w:val="24"/>
                <w:szCs w:val="24"/>
              </w:rPr>
            </w:pPr>
            <w:r>
              <w:rPr>
                <w:rFonts w:hint="eastAsia" w:ascii="宋体" w:hAnsi="宋体" w:cs="宋体"/>
                <w:spacing w:val="-4"/>
                <w:sz w:val="24"/>
                <w:szCs w:val="24"/>
                <w14:textOutline w14:w="1536" w14:cap="flat" w14:cmpd="sng" w14:algn="ctr">
                  <w14:solidFill>
                    <w14:srgbClr w14:val="000000"/>
                  </w14:solidFill>
                  <w14:prstDash w14:val="solid"/>
                  <w14:miter w14:val="0"/>
                </w14:textOutline>
              </w:rPr>
              <w:t>规</w:t>
            </w:r>
            <w:r>
              <w:rPr>
                <w:rFonts w:hint="eastAsia" w:ascii="宋体" w:hAnsi="宋体" w:cs="宋体"/>
                <w:spacing w:val="-2"/>
                <w:sz w:val="24"/>
                <w:szCs w:val="24"/>
                <w14:textOutline w14:w="1536" w14:cap="flat" w14:cmpd="sng" w14:algn="ctr">
                  <w14:solidFill>
                    <w14:srgbClr w14:val="000000"/>
                  </w14:solidFill>
                  <w14:prstDash w14:val="solid"/>
                  <w14:miter w14:val="0"/>
                </w14:textOutline>
              </w:rPr>
              <w:t>模</w:t>
            </w:r>
          </w:p>
        </w:tc>
        <w:tc>
          <w:tcPr>
            <w:tcW w:w="496" w:type="pct"/>
          </w:tcPr>
          <w:p w14:paraId="5F0D3B1C">
            <w:pPr>
              <w:spacing w:line="252" w:lineRule="auto"/>
              <w:rPr>
                <w:rFonts w:hint="eastAsia" w:ascii="宋体" w:hAnsi="宋体" w:cs="宋体"/>
                <w:sz w:val="24"/>
                <w:szCs w:val="24"/>
              </w:rPr>
            </w:pPr>
          </w:p>
          <w:p w14:paraId="19A184C1">
            <w:pPr>
              <w:spacing w:before="78" w:line="220" w:lineRule="auto"/>
              <w:ind w:left="492"/>
              <w:rPr>
                <w:rFonts w:hint="eastAsia" w:ascii="宋体" w:hAnsi="宋体" w:cs="宋体"/>
                <w:sz w:val="24"/>
                <w:szCs w:val="24"/>
              </w:rPr>
            </w:pPr>
            <w:r>
              <w:rPr>
                <w:rFonts w:hint="eastAsia" w:ascii="宋体" w:hAnsi="宋体" w:cs="宋体"/>
                <w:spacing w:val="-8"/>
                <w:sz w:val="24"/>
                <w:szCs w:val="24"/>
                <w14:textOutline w14:w="1536" w14:cap="flat" w14:cmpd="sng" w14:algn="ctr">
                  <w14:solidFill>
                    <w14:srgbClr w14:val="000000"/>
                  </w14:solidFill>
                  <w14:prstDash w14:val="solid"/>
                  <w14:miter w14:val="0"/>
                </w14:textOutline>
              </w:rPr>
              <w:t>品</w:t>
            </w:r>
            <w:r>
              <w:rPr>
                <w:rFonts w:hint="eastAsia" w:ascii="宋体" w:hAnsi="宋体" w:cs="宋体"/>
                <w:spacing w:val="-7"/>
                <w:sz w:val="24"/>
                <w:szCs w:val="24"/>
                <w14:textOutline w14:w="1536" w14:cap="flat" w14:cmpd="sng" w14:algn="ctr">
                  <w14:solidFill>
                    <w14:srgbClr w14:val="000000"/>
                  </w14:solidFill>
                  <w14:prstDash w14:val="solid"/>
                  <w14:miter w14:val="0"/>
                </w14:textOutline>
              </w:rPr>
              <w:t>牌</w:t>
            </w:r>
          </w:p>
        </w:tc>
        <w:tc>
          <w:tcPr>
            <w:tcW w:w="496" w:type="pct"/>
          </w:tcPr>
          <w:p w14:paraId="646EA2F3">
            <w:pPr>
              <w:spacing w:line="252" w:lineRule="auto"/>
              <w:rPr>
                <w:rFonts w:hint="eastAsia" w:ascii="宋体" w:hAnsi="宋体" w:cs="宋体"/>
                <w:sz w:val="24"/>
                <w:szCs w:val="24"/>
              </w:rPr>
            </w:pPr>
          </w:p>
          <w:p w14:paraId="036E1F05">
            <w:pPr>
              <w:spacing w:before="78" w:line="220" w:lineRule="auto"/>
              <w:ind w:left="120"/>
              <w:rPr>
                <w:rFonts w:hint="eastAsia" w:ascii="宋体" w:hAnsi="宋体" w:cs="宋体"/>
                <w:sz w:val="24"/>
                <w:szCs w:val="24"/>
              </w:rPr>
            </w:pPr>
            <w:r>
              <w:rPr>
                <w:rFonts w:hint="eastAsia" w:ascii="宋体" w:hAnsi="宋体" w:cs="宋体"/>
                <w:spacing w:val="-4"/>
                <w:sz w:val="24"/>
                <w:szCs w:val="24"/>
                <w14:textOutline w14:w="1536" w14:cap="flat" w14:cmpd="sng" w14:algn="ctr">
                  <w14:solidFill>
                    <w14:srgbClr w14:val="000000"/>
                  </w14:solidFill>
                  <w14:prstDash w14:val="solid"/>
                  <w14:miter w14:val="0"/>
                </w14:textOutline>
              </w:rPr>
              <w:t>规</w:t>
            </w:r>
            <w:r>
              <w:rPr>
                <w:rFonts w:hint="eastAsia" w:ascii="宋体" w:hAnsi="宋体" w:cs="宋体"/>
                <w:spacing w:val="-3"/>
                <w:sz w:val="24"/>
                <w:szCs w:val="24"/>
                <w14:textOutline w14:w="1536" w14:cap="flat" w14:cmpd="sng" w14:algn="ctr">
                  <w14:solidFill>
                    <w14:srgbClr w14:val="000000"/>
                  </w14:solidFill>
                  <w14:prstDash w14:val="solid"/>
                  <w14:miter w14:val="0"/>
                </w14:textOutline>
              </w:rPr>
              <w:t>格、型号</w:t>
            </w:r>
          </w:p>
        </w:tc>
        <w:tc>
          <w:tcPr>
            <w:tcW w:w="337" w:type="pct"/>
          </w:tcPr>
          <w:p w14:paraId="32A8B505">
            <w:pPr>
              <w:spacing w:before="176" w:line="255" w:lineRule="auto"/>
              <w:ind w:left="136" w:right="128" w:firstLine="115"/>
              <w:rPr>
                <w:rFonts w:hint="eastAsia" w:ascii="宋体" w:hAnsi="宋体" w:cs="宋体"/>
                <w:sz w:val="24"/>
                <w:szCs w:val="24"/>
              </w:rPr>
            </w:pPr>
            <w:r>
              <w:rPr>
                <w:rFonts w:hint="eastAsia" w:ascii="宋体" w:hAnsi="宋体" w:cs="宋体"/>
                <w:spacing w:val="-7"/>
                <w:sz w:val="24"/>
                <w:szCs w:val="24"/>
                <w14:textOutline w14:w="1536" w14:cap="flat" w14:cmpd="sng" w14:algn="ctr">
                  <w14:solidFill>
                    <w14:srgbClr w14:val="000000"/>
                  </w14:solidFill>
                  <w14:prstDash w14:val="solid"/>
                  <w14:miter w14:val="0"/>
                </w14:textOutline>
              </w:rPr>
              <w:t>单</w:t>
            </w:r>
            <w:r>
              <w:rPr>
                <w:rFonts w:hint="eastAsia" w:ascii="宋体" w:hAnsi="宋体" w:cs="宋体"/>
                <w:spacing w:val="-5"/>
                <w:sz w:val="24"/>
                <w:szCs w:val="24"/>
                <w14:textOutline w14:w="1536" w14:cap="flat" w14:cmpd="sng" w14:algn="ctr">
                  <w14:solidFill>
                    <w14:srgbClr w14:val="000000"/>
                  </w14:solidFill>
                  <w14:prstDash w14:val="solid"/>
                  <w14:miter w14:val="0"/>
                </w14:textOutline>
              </w:rPr>
              <w:t>价</w:t>
            </w:r>
            <w:r>
              <w:rPr>
                <w:rFonts w:hint="eastAsia" w:ascii="宋体" w:hAnsi="宋体" w:cs="宋体"/>
                <w:sz w:val="24"/>
                <w:szCs w:val="24"/>
              </w:rPr>
              <w:t xml:space="preserve"> </w:t>
            </w:r>
            <w:r>
              <w:rPr>
                <w:rFonts w:hint="eastAsia" w:ascii="宋体" w:hAnsi="宋体" w:cs="宋体"/>
                <w:spacing w:val="30"/>
                <w:sz w:val="24"/>
                <w:szCs w:val="24"/>
                <w14:textOutline w14:w="1536" w14:cap="flat" w14:cmpd="sng" w14:algn="ctr">
                  <w14:solidFill>
                    <w14:srgbClr w14:val="000000"/>
                  </w14:solidFill>
                  <w14:prstDash w14:val="solid"/>
                  <w14:miter w14:val="0"/>
                </w14:textOutline>
              </w:rPr>
              <w:t>(元)</w:t>
            </w:r>
          </w:p>
        </w:tc>
        <w:tc>
          <w:tcPr>
            <w:tcW w:w="346" w:type="pct"/>
          </w:tcPr>
          <w:p w14:paraId="0D354F1F">
            <w:pPr>
              <w:spacing w:line="252" w:lineRule="auto"/>
              <w:rPr>
                <w:rFonts w:hint="eastAsia" w:ascii="宋体" w:hAnsi="宋体" w:cs="宋体"/>
                <w:sz w:val="24"/>
                <w:szCs w:val="24"/>
              </w:rPr>
            </w:pPr>
          </w:p>
          <w:p w14:paraId="5129049E">
            <w:pPr>
              <w:spacing w:before="78" w:line="220" w:lineRule="auto"/>
              <w:ind w:left="255"/>
              <w:rPr>
                <w:rFonts w:hint="eastAsia" w:ascii="宋体" w:hAnsi="宋体" w:cs="宋体"/>
                <w:sz w:val="24"/>
                <w:szCs w:val="24"/>
              </w:rPr>
            </w:pPr>
            <w:r>
              <w:rPr>
                <w:rFonts w:hint="eastAsia" w:ascii="宋体" w:hAnsi="宋体" w:cs="宋体"/>
                <w:spacing w:val="-3"/>
                <w:sz w:val="24"/>
                <w:szCs w:val="24"/>
                <w14:textOutline w14:w="1536" w14:cap="flat" w14:cmpd="sng" w14:algn="ctr">
                  <w14:solidFill>
                    <w14:srgbClr w14:val="000000"/>
                  </w14:solidFill>
                  <w14:prstDash w14:val="solid"/>
                  <w14:miter w14:val="0"/>
                </w14:textOutline>
              </w:rPr>
              <w:t>数量</w:t>
            </w:r>
          </w:p>
        </w:tc>
        <w:tc>
          <w:tcPr>
            <w:tcW w:w="423" w:type="pct"/>
          </w:tcPr>
          <w:p w14:paraId="2DA30F9F">
            <w:pPr>
              <w:spacing w:line="252" w:lineRule="auto"/>
              <w:rPr>
                <w:rFonts w:hint="eastAsia" w:ascii="宋体" w:hAnsi="宋体" w:cs="宋体"/>
                <w:sz w:val="24"/>
                <w:szCs w:val="24"/>
              </w:rPr>
            </w:pPr>
          </w:p>
          <w:p w14:paraId="639B01A7">
            <w:pPr>
              <w:spacing w:before="78" w:line="219" w:lineRule="auto"/>
              <w:ind w:left="118"/>
              <w:rPr>
                <w:rFonts w:hint="eastAsia" w:ascii="宋体" w:hAnsi="宋体" w:cs="宋体"/>
                <w:sz w:val="24"/>
                <w:szCs w:val="24"/>
              </w:rPr>
            </w:pPr>
            <w:r>
              <w:rPr>
                <w:rFonts w:hint="eastAsia" w:ascii="宋体" w:hAnsi="宋体" w:cs="宋体"/>
                <w:spacing w:val="-1"/>
                <w:sz w:val="24"/>
                <w:szCs w:val="24"/>
                <w14:textOutline w14:w="1536" w14:cap="flat" w14:cmpd="sng" w14:algn="ctr">
                  <w14:solidFill>
                    <w14:srgbClr w14:val="000000"/>
                  </w14:solidFill>
                  <w14:prstDash w14:val="solid"/>
                  <w14:miter w14:val="0"/>
                </w14:textOutline>
              </w:rPr>
              <w:t>合价(元)</w:t>
            </w:r>
          </w:p>
        </w:tc>
      </w:tr>
      <w:tr w14:paraId="18E1C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310" w:type="pct"/>
          </w:tcPr>
          <w:p w14:paraId="7F0002F1">
            <w:pPr>
              <w:spacing w:before="201" w:line="199" w:lineRule="auto"/>
              <w:ind w:left="391"/>
              <w:rPr>
                <w:rFonts w:hint="eastAsia" w:ascii="宋体" w:hAnsi="宋体" w:cs="宋体"/>
                <w:sz w:val="24"/>
                <w:szCs w:val="24"/>
              </w:rPr>
            </w:pPr>
            <w:r>
              <w:rPr>
                <w:rFonts w:hint="eastAsia" w:ascii="宋体" w:hAnsi="宋体" w:cs="宋体"/>
                <w:sz w:val="24"/>
                <w:szCs w:val="24"/>
              </w:rPr>
              <w:t>1</w:t>
            </w:r>
          </w:p>
        </w:tc>
        <w:tc>
          <w:tcPr>
            <w:tcW w:w="775" w:type="pct"/>
          </w:tcPr>
          <w:p w14:paraId="3E7DCADE">
            <w:pPr>
              <w:spacing w:line="333" w:lineRule="exact"/>
              <w:ind w:left="232"/>
              <w:jc w:val="center"/>
              <w:rPr>
                <w:rFonts w:hint="eastAsia" w:ascii="宋体" w:hAnsi="宋体" w:cs="宋体"/>
                <w:sz w:val="24"/>
                <w:szCs w:val="24"/>
              </w:rPr>
            </w:pPr>
          </w:p>
        </w:tc>
        <w:tc>
          <w:tcPr>
            <w:tcW w:w="390" w:type="pct"/>
          </w:tcPr>
          <w:p w14:paraId="7ADC6F1A">
            <w:pPr>
              <w:rPr>
                <w:rFonts w:hint="eastAsia" w:ascii="宋体" w:hAnsi="宋体" w:cs="宋体"/>
                <w:sz w:val="24"/>
                <w:szCs w:val="24"/>
              </w:rPr>
            </w:pPr>
          </w:p>
        </w:tc>
        <w:tc>
          <w:tcPr>
            <w:tcW w:w="431" w:type="pct"/>
          </w:tcPr>
          <w:p w14:paraId="759F2B15">
            <w:pPr>
              <w:rPr>
                <w:rFonts w:hint="eastAsia" w:ascii="宋体" w:hAnsi="宋体" w:cs="宋体"/>
                <w:sz w:val="24"/>
                <w:szCs w:val="24"/>
              </w:rPr>
            </w:pPr>
          </w:p>
        </w:tc>
        <w:tc>
          <w:tcPr>
            <w:tcW w:w="496" w:type="pct"/>
          </w:tcPr>
          <w:p w14:paraId="7644C188">
            <w:pPr>
              <w:rPr>
                <w:rFonts w:hint="eastAsia" w:ascii="宋体" w:hAnsi="宋体" w:cs="宋体"/>
                <w:sz w:val="24"/>
                <w:szCs w:val="24"/>
              </w:rPr>
            </w:pPr>
          </w:p>
        </w:tc>
        <w:tc>
          <w:tcPr>
            <w:tcW w:w="496" w:type="pct"/>
          </w:tcPr>
          <w:p w14:paraId="46C176D1">
            <w:pPr>
              <w:rPr>
                <w:rFonts w:hint="eastAsia" w:ascii="宋体" w:hAnsi="宋体" w:cs="宋体"/>
                <w:sz w:val="24"/>
                <w:szCs w:val="24"/>
              </w:rPr>
            </w:pPr>
          </w:p>
        </w:tc>
        <w:tc>
          <w:tcPr>
            <w:tcW w:w="496" w:type="pct"/>
          </w:tcPr>
          <w:p w14:paraId="06F805DF">
            <w:pPr>
              <w:rPr>
                <w:rFonts w:hint="eastAsia" w:ascii="宋体" w:hAnsi="宋体" w:cs="宋体"/>
                <w:sz w:val="24"/>
                <w:szCs w:val="24"/>
              </w:rPr>
            </w:pPr>
          </w:p>
        </w:tc>
        <w:tc>
          <w:tcPr>
            <w:tcW w:w="496" w:type="pct"/>
          </w:tcPr>
          <w:p w14:paraId="7405FC99">
            <w:pPr>
              <w:rPr>
                <w:rFonts w:hint="eastAsia" w:ascii="宋体" w:hAnsi="宋体" w:cs="宋体"/>
                <w:sz w:val="24"/>
                <w:szCs w:val="24"/>
              </w:rPr>
            </w:pPr>
          </w:p>
        </w:tc>
        <w:tc>
          <w:tcPr>
            <w:tcW w:w="337" w:type="pct"/>
          </w:tcPr>
          <w:p w14:paraId="24B86974">
            <w:pPr>
              <w:rPr>
                <w:rFonts w:hint="eastAsia" w:ascii="宋体" w:hAnsi="宋体" w:cs="宋体"/>
                <w:sz w:val="24"/>
                <w:szCs w:val="24"/>
              </w:rPr>
            </w:pPr>
          </w:p>
        </w:tc>
        <w:tc>
          <w:tcPr>
            <w:tcW w:w="346" w:type="pct"/>
          </w:tcPr>
          <w:p w14:paraId="51B241F5">
            <w:pPr>
              <w:rPr>
                <w:rFonts w:hint="eastAsia" w:ascii="宋体" w:hAnsi="宋体" w:cs="宋体"/>
                <w:sz w:val="24"/>
                <w:szCs w:val="24"/>
              </w:rPr>
            </w:pPr>
          </w:p>
        </w:tc>
        <w:tc>
          <w:tcPr>
            <w:tcW w:w="423" w:type="pct"/>
          </w:tcPr>
          <w:p w14:paraId="3E994466">
            <w:pPr>
              <w:rPr>
                <w:rFonts w:hint="eastAsia" w:ascii="宋体" w:hAnsi="宋体" w:cs="宋体"/>
                <w:sz w:val="24"/>
                <w:szCs w:val="24"/>
              </w:rPr>
            </w:pPr>
          </w:p>
        </w:tc>
      </w:tr>
      <w:tr w14:paraId="42356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10" w:type="pct"/>
          </w:tcPr>
          <w:p w14:paraId="27E4848F">
            <w:pPr>
              <w:spacing w:before="46" w:line="201" w:lineRule="auto"/>
              <w:ind w:left="382"/>
              <w:rPr>
                <w:rFonts w:hint="eastAsia" w:ascii="宋体" w:hAnsi="宋体" w:cs="宋体"/>
                <w:sz w:val="24"/>
                <w:szCs w:val="24"/>
              </w:rPr>
            </w:pPr>
            <w:r>
              <w:rPr>
                <w:rFonts w:hint="eastAsia" w:ascii="宋体" w:hAnsi="宋体" w:cs="宋体"/>
                <w:spacing w:val="1"/>
                <w:sz w:val="24"/>
                <w:szCs w:val="24"/>
              </w:rPr>
              <w:t>2</w:t>
            </w:r>
          </w:p>
        </w:tc>
        <w:tc>
          <w:tcPr>
            <w:tcW w:w="775" w:type="pct"/>
          </w:tcPr>
          <w:p w14:paraId="04BE2DDB">
            <w:pPr>
              <w:spacing w:before="179" w:line="81" w:lineRule="exact"/>
              <w:ind w:left="889"/>
              <w:rPr>
                <w:rFonts w:hint="eastAsia" w:ascii="宋体" w:hAnsi="宋体" w:cs="宋体"/>
                <w:sz w:val="24"/>
                <w:szCs w:val="24"/>
              </w:rPr>
            </w:pPr>
          </w:p>
        </w:tc>
        <w:tc>
          <w:tcPr>
            <w:tcW w:w="390" w:type="pct"/>
          </w:tcPr>
          <w:p w14:paraId="0EF1DE1D">
            <w:pPr>
              <w:rPr>
                <w:rFonts w:hint="eastAsia" w:ascii="宋体" w:hAnsi="宋体" w:cs="宋体"/>
                <w:sz w:val="24"/>
                <w:szCs w:val="24"/>
              </w:rPr>
            </w:pPr>
          </w:p>
        </w:tc>
        <w:tc>
          <w:tcPr>
            <w:tcW w:w="431" w:type="pct"/>
          </w:tcPr>
          <w:p w14:paraId="6FE2B0CF">
            <w:pPr>
              <w:rPr>
                <w:rFonts w:hint="eastAsia" w:ascii="宋体" w:hAnsi="宋体" w:cs="宋体"/>
                <w:sz w:val="24"/>
                <w:szCs w:val="24"/>
              </w:rPr>
            </w:pPr>
          </w:p>
        </w:tc>
        <w:tc>
          <w:tcPr>
            <w:tcW w:w="496" w:type="pct"/>
          </w:tcPr>
          <w:p w14:paraId="66A5F0D4">
            <w:pPr>
              <w:rPr>
                <w:rFonts w:hint="eastAsia" w:ascii="宋体" w:hAnsi="宋体" w:cs="宋体"/>
                <w:sz w:val="24"/>
                <w:szCs w:val="24"/>
              </w:rPr>
            </w:pPr>
          </w:p>
        </w:tc>
        <w:tc>
          <w:tcPr>
            <w:tcW w:w="496" w:type="pct"/>
          </w:tcPr>
          <w:p w14:paraId="0714EA22">
            <w:pPr>
              <w:rPr>
                <w:rFonts w:hint="eastAsia" w:ascii="宋体" w:hAnsi="宋体" w:cs="宋体"/>
                <w:sz w:val="24"/>
                <w:szCs w:val="24"/>
              </w:rPr>
            </w:pPr>
          </w:p>
        </w:tc>
        <w:tc>
          <w:tcPr>
            <w:tcW w:w="496" w:type="pct"/>
          </w:tcPr>
          <w:p w14:paraId="4866CA28">
            <w:pPr>
              <w:rPr>
                <w:rFonts w:hint="eastAsia" w:ascii="宋体" w:hAnsi="宋体" w:cs="宋体"/>
                <w:sz w:val="24"/>
                <w:szCs w:val="24"/>
              </w:rPr>
            </w:pPr>
          </w:p>
        </w:tc>
        <w:tc>
          <w:tcPr>
            <w:tcW w:w="496" w:type="pct"/>
          </w:tcPr>
          <w:p w14:paraId="2A663607">
            <w:pPr>
              <w:rPr>
                <w:rFonts w:hint="eastAsia" w:ascii="宋体" w:hAnsi="宋体" w:cs="宋体"/>
                <w:sz w:val="24"/>
                <w:szCs w:val="24"/>
              </w:rPr>
            </w:pPr>
          </w:p>
        </w:tc>
        <w:tc>
          <w:tcPr>
            <w:tcW w:w="337" w:type="pct"/>
          </w:tcPr>
          <w:p w14:paraId="2E3367B0">
            <w:pPr>
              <w:rPr>
                <w:rFonts w:hint="eastAsia" w:ascii="宋体" w:hAnsi="宋体" w:cs="宋体"/>
                <w:sz w:val="24"/>
                <w:szCs w:val="24"/>
              </w:rPr>
            </w:pPr>
          </w:p>
        </w:tc>
        <w:tc>
          <w:tcPr>
            <w:tcW w:w="346" w:type="pct"/>
          </w:tcPr>
          <w:p w14:paraId="051D86CF">
            <w:pPr>
              <w:rPr>
                <w:rFonts w:hint="eastAsia" w:ascii="宋体" w:hAnsi="宋体" w:cs="宋体"/>
                <w:sz w:val="24"/>
                <w:szCs w:val="24"/>
              </w:rPr>
            </w:pPr>
          </w:p>
        </w:tc>
        <w:tc>
          <w:tcPr>
            <w:tcW w:w="423" w:type="pct"/>
          </w:tcPr>
          <w:p w14:paraId="58C96BB2">
            <w:pPr>
              <w:rPr>
                <w:rFonts w:hint="eastAsia" w:ascii="宋体" w:hAnsi="宋体" w:cs="宋体"/>
                <w:sz w:val="24"/>
                <w:szCs w:val="24"/>
              </w:rPr>
            </w:pPr>
          </w:p>
        </w:tc>
      </w:tr>
      <w:tr w14:paraId="086C4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10" w:type="pct"/>
          </w:tcPr>
          <w:p w14:paraId="15449A62">
            <w:pPr>
              <w:spacing w:before="48" w:line="201" w:lineRule="auto"/>
              <w:ind w:left="383"/>
              <w:rPr>
                <w:rFonts w:hint="eastAsia" w:ascii="宋体" w:hAnsi="宋体" w:cs="宋体"/>
                <w:sz w:val="24"/>
                <w:szCs w:val="24"/>
              </w:rPr>
            </w:pPr>
            <w:r>
              <w:rPr>
                <w:rFonts w:hint="eastAsia" w:ascii="宋体" w:hAnsi="宋体" w:cs="宋体"/>
                <w:sz w:val="24"/>
                <w:szCs w:val="24"/>
              </w:rPr>
              <w:t>3</w:t>
            </w:r>
          </w:p>
        </w:tc>
        <w:tc>
          <w:tcPr>
            <w:tcW w:w="775" w:type="pct"/>
          </w:tcPr>
          <w:p w14:paraId="03E36292">
            <w:pPr>
              <w:spacing w:before="182" w:line="81" w:lineRule="exact"/>
              <w:ind w:left="889"/>
              <w:rPr>
                <w:rFonts w:hint="eastAsia" w:ascii="宋体" w:hAnsi="宋体" w:cs="宋体"/>
                <w:sz w:val="24"/>
                <w:szCs w:val="24"/>
              </w:rPr>
            </w:pPr>
          </w:p>
        </w:tc>
        <w:tc>
          <w:tcPr>
            <w:tcW w:w="390" w:type="pct"/>
          </w:tcPr>
          <w:p w14:paraId="45491AA9">
            <w:pPr>
              <w:rPr>
                <w:rFonts w:hint="eastAsia" w:ascii="宋体" w:hAnsi="宋体" w:cs="宋体"/>
                <w:sz w:val="24"/>
                <w:szCs w:val="24"/>
              </w:rPr>
            </w:pPr>
          </w:p>
        </w:tc>
        <w:tc>
          <w:tcPr>
            <w:tcW w:w="431" w:type="pct"/>
          </w:tcPr>
          <w:p w14:paraId="209091E6">
            <w:pPr>
              <w:rPr>
                <w:rFonts w:hint="eastAsia" w:ascii="宋体" w:hAnsi="宋体" w:cs="宋体"/>
                <w:sz w:val="24"/>
                <w:szCs w:val="24"/>
              </w:rPr>
            </w:pPr>
          </w:p>
        </w:tc>
        <w:tc>
          <w:tcPr>
            <w:tcW w:w="496" w:type="pct"/>
          </w:tcPr>
          <w:p w14:paraId="6539E97D">
            <w:pPr>
              <w:rPr>
                <w:rFonts w:hint="eastAsia" w:ascii="宋体" w:hAnsi="宋体" w:cs="宋体"/>
                <w:sz w:val="24"/>
                <w:szCs w:val="24"/>
              </w:rPr>
            </w:pPr>
          </w:p>
        </w:tc>
        <w:tc>
          <w:tcPr>
            <w:tcW w:w="496" w:type="pct"/>
          </w:tcPr>
          <w:p w14:paraId="79BF3E71">
            <w:pPr>
              <w:rPr>
                <w:rFonts w:hint="eastAsia" w:ascii="宋体" w:hAnsi="宋体" w:cs="宋体"/>
                <w:sz w:val="24"/>
                <w:szCs w:val="24"/>
              </w:rPr>
            </w:pPr>
          </w:p>
        </w:tc>
        <w:tc>
          <w:tcPr>
            <w:tcW w:w="496" w:type="pct"/>
          </w:tcPr>
          <w:p w14:paraId="38CB73AE">
            <w:pPr>
              <w:rPr>
                <w:rFonts w:hint="eastAsia" w:ascii="宋体" w:hAnsi="宋体" w:cs="宋体"/>
                <w:sz w:val="24"/>
                <w:szCs w:val="24"/>
              </w:rPr>
            </w:pPr>
          </w:p>
        </w:tc>
        <w:tc>
          <w:tcPr>
            <w:tcW w:w="496" w:type="pct"/>
          </w:tcPr>
          <w:p w14:paraId="7021B326">
            <w:pPr>
              <w:rPr>
                <w:rFonts w:hint="eastAsia" w:ascii="宋体" w:hAnsi="宋体" w:cs="宋体"/>
                <w:sz w:val="24"/>
                <w:szCs w:val="24"/>
              </w:rPr>
            </w:pPr>
          </w:p>
        </w:tc>
        <w:tc>
          <w:tcPr>
            <w:tcW w:w="337" w:type="pct"/>
          </w:tcPr>
          <w:p w14:paraId="57E2A9F2">
            <w:pPr>
              <w:rPr>
                <w:rFonts w:hint="eastAsia" w:ascii="宋体" w:hAnsi="宋体" w:cs="宋体"/>
                <w:sz w:val="24"/>
                <w:szCs w:val="24"/>
              </w:rPr>
            </w:pPr>
          </w:p>
        </w:tc>
        <w:tc>
          <w:tcPr>
            <w:tcW w:w="346" w:type="pct"/>
          </w:tcPr>
          <w:p w14:paraId="2D9E8D8B">
            <w:pPr>
              <w:rPr>
                <w:rFonts w:hint="eastAsia" w:ascii="宋体" w:hAnsi="宋体" w:cs="宋体"/>
                <w:sz w:val="24"/>
                <w:szCs w:val="24"/>
              </w:rPr>
            </w:pPr>
          </w:p>
        </w:tc>
        <w:tc>
          <w:tcPr>
            <w:tcW w:w="423" w:type="pct"/>
          </w:tcPr>
          <w:p w14:paraId="36A8E52A">
            <w:pPr>
              <w:rPr>
                <w:rFonts w:hint="eastAsia" w:ascii="宋体" w:hAnsi="宋体" w:cs="宋体"/>
                <w:sz w:val="24"/>
                <w:szCs w:val="24"/>
              </w:rPr>
            </w:pPr>
          </w:p>
        </w:tc>
      </w:tr>
      <w:tr w14:paraId="4F733C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10" w:type="pct"/>
          </w:tcPr>
          <w:p w14:paraId="3C6CAE92">
            <w:pPr>
              <w:spacing w:before="52" w:line="199" w:lineRule="auto"/>
              <w:ind w:left="376"/>
              <w:rPr>
                <w:rFonts w:hint="eastAsia" w:ascii="宋体" w:hAnsi="宋体" w:cs="宋体"/>
                <w:sz w:val="24"/>
                <w:szCs w:val="24"/>
              </w:rPr>
            </w:pPr>
            <w:r>
              <w:rPr>
                <w:rFonts w:hint="eastAsia" w:ascii="宋体" w:hAnsi="宋体" w:cs="宋体"/>
                <w:spacing w:val="7"/>
                <w:sz w:val="24"/>
                <w:szCs w:val="24"/>
              </w:rPr>
              <w:t>4</w:t>
            </w:r>
          </w:p>
        </w:tc>
        <w:tc>
          <w:tcPr>
            <w:tcW w:w="775" w:type="pct"/>
          </w:tcPr>
          <w:p w14:paraId="3071DA67">
            <w:pPr>
              <w:spacing w:before="25" w:line="220" w:lineRule="auto"/>
              <w:ind w:left="634"/>
              <w:rPr>
                <w:rFonts w:hint="eastAsia" w:ascii="宋体" w:hAnsi="宋体" w:cs="宋体"/>
                <w:sz w:val="24"/>
                <w:szCs w:val="24"/>
              </w:rPr>
            </w:pPr>
          </w:p>
        </w:tc>
        <w:tc>
          <w:tcPr>
            <w:tcW w:w="390" w:type="pct"/>
          </w:tcPr>
          <w:p w14:paraId="1AD46036">
            <w:pPr>
              <w:rPr>
                <w:rFonts w:hint="eastAsia" w:ascii="宋体" w:hAnsi="宋体" w:cs="宋体"/>
                <w:sz w:val="24"/>
                <w:szCs w:val="24"/>
              </w:rPr>
            </w:pPr>
          </w:p>
        </w:tc>
        <w:tc>
          <w:tcPr>
            <w:tcW w:w="431" w:type="pct"/>
          </w:tcPr>
          <w:p w14:paraId="607BB355">
            <w:pPr>
              <w:rPr>
                <w:rFonts w:hint="eastAsia" w:ascii="宋体" w:hAnsi="宋体" w:cs="宋体"/>
                <w:sz w:val="24"/>
                <w:szCs w:val="24"/>
              </w:rPr>
            </w:pPr>
          </w:p>
        </w:tc>
        <w:tc>
          <w:tcPr>
            <w:tcW w:w="496" w:type="pct"/>
          </w:tcPr>
          <w:p w14:paraId="049BBB2B">
            <w:pPr>
              <w:rPr>
                <w:rFonts w:hint="eastAsia" w:ascii="宋体" w:hAnsi="宋体" w:cs="宋体"/>
                <w:sz w:val="24"/>
                <w:szCs w:val="24"/>
              </w:rPr>
            </w:pPr>
          </w:p>
        </w:tc>
        <w:tc>
          <w:tcPr>
            <w:tcW w:w="496" w:type="pct"/>
          </w:tcPr>
          <w:p w14:paraId="65681AB0">
            <w:pPr>
              <w:rPr>
                <w:rFonts w:hint="eastAsia" w:ascii="宋体" w:hAnsi="宋体" w:cs="宋体"/>
                <w:sz w:val="24"/>
                <w:szCs w:val="24"/>
              </w:rPr>
            </w:pPr>
          </w:p>
        </w:tc>
        <w:tc>
          <w:tcPr>
            <w:tcW w:w="496" w:type="pct"/>
          </w:tcPr>
          <w:p w14:paraId="65D4C95F">
            <w:pPr>
              <w:rPr>
                <w:rFonts w:hint="eastAsia" w:ascii="宋体" w:hAnsi="宋体" w:cs="宋体"/>
                <w:sz w:val="24"/>
                <w:szCs w:val="24"/>
              </w:rPr>
            </w:pPr>
          </w:p>
        </w:tc>
        <w:tc>
          <w:tcPr>
            <w:tcW w:w="496" w:type="pct"/>
          </w:tcPr>
          <w:p w14:paraId="2F3E2FE2">
            <w:pPr>
              <w:rPr>
                <w:rFonts w:hint="eastAsia" w:ascii="宋体" w:hAnsi="宋体" w:cs="宋体"/>
                <w:sz w:val="24"/>
                <w:szCs w:val="24"/>
              </w:rPr>
            </w:pPr>
          </w:p>
        </w:tc>
        <w:tc>
          <w:tcPr>
            <w:tcW w:w="337" w:type="pct"/>
          </w:tcPr>
          <w:p w14:paraId="7FBFB9EE">
            <w:pPr>
              <w:rPr>
                <w:rFonts w:hint="eastAsia" w:ascii="宋体" w:hAnsi="宋体" w:cs="宋体"/>
                <w:sz w:val="24"/>
                <w:szCs w:val="24"/>
              </w:rPr>
            </w:pPr>
          </w:p>
        </w:tc>
        <w:tc>
          <w:tcPr>
            <w:tcW w:w="346" w:type="pct"/>
          </w:tcPr>
          <w:p w14:paraId="794CCE94">
            <w:pPr>
              <w:rPr>
                <w:rFonts w:hint="eastAsia" w:ascii="宋体" w:hAnsi="宋体" w:cs="宋体"/>
                <w:sz w:val="24"/>
                <w:szCs w:val="24"/>
              </w:rPr>
            </w:pPr>
          </w:p>
        </w:tc>
        <w:tc>
          <w:tcPr>
            <w:tcW w:w="423" w:type="pct"/>
          </w:tcPr>
          <w:p w14:paraId="129DEBFE">
            <w:pPr>
              <w:rPr>
                <w:rFonts w:hint="eastAsia" w:ascii="宋体" w:hAnsi="宋体" w:cs="宋体"/>
                <w:sz w:val="24"/>
                <w:szCs w:val="24"/>
              </w:rPr>
            </w:pPr>
          </w:p>
        </w:tc>
      </w:tr>
      <w:tr w14:paraId="556DF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10" w:type="pct"/>
          </w:tcPr>
          <w:p w14:paraId="12DA4574">
            <w:pPr>
              <w:spacing w:before="55" w:line="199" w:lineRule="auto"/>
              <w:ind w:left="383"/>
              <w:rPr>
                <w:rFonts w:hint="eastAsia" w:ascii="宋体" w:hAnsi="宋体" w:cs="宋体"/>
                <w:sz w:val="24"/>
                <w:szCs w:val="24"/>
              </w:rPr>
            </w:pPr>
            <w:r>
              <w:rPr>
                <w:rFonts w:hint="eastAsia" w:ascii="宋体" w:hAnsi="宋体" w:cs="宋体"/>
                <w:sz w:val="24"/>
                <w:szCs w:val="24"/>
              </w:rPr>
              <w:t>5</w:t>
            </w:r>
          </w:p>
        </w:tc>
        <w:tc>
          <w:tcPr>
            <w:tcW w:w="775" w:type="pct"/>
          </w:tcPr>
          <w:p w14:paraId="5AA73873">
            <w:pPr>
              <w:spacing w:before="26" w:line="221" w:lineRule="auto"/>
              <w:ind w:left="632"/>
              <w:rPr>
                <w:rFonts w:hint="eastAsia" w:ascii="宋体" w:hAnsi="宋体" w:cs="宋体"/>
                <w:sz w:val="24"/>
                <w:szCs w:val="24"/>
              </w:rPr>
            </w:pPr>
          </w:p>
        </w:tc>
        <w:tc>
          <w:tcPr>
            <w:tcW w:w="390" w:type="pct"/>
          </w:tcPr>
          <w:p w14:paraId="5C2D6E4A">
            <w:pPr>
              <w:rPr>
                <w:rFonts w:hint="eastAsia" w:ascii="宋体" w:hAnsi="宋体" w:cs="宋体"/>
                <w:sz w:val="24"/>
                <w:szCs w:val="24"/>
              </w:rPr>
            </w:pPr>
          </w:p>
        </w:tc>
        <w:tc>
          <w:tcPr>
            <w:tcW w:w="431" w:type="pct"/>
          </w:tcPr>
          <w:p w14:paraId="55ECF6E8">
            <w:pPr>
              <w:rPr>
                <w:rFonts w:hint="eastAsia" w:ascii="宋体" w:hAnsi="宋体" w:cs="宋体"/>
                <w:sz w:val="24"/>
                <w:szCs w:val="24"/>
              </w:rPr>
            </w:pPr>
          </w:p>
        </w:tc>
        <w:tc>
          <w:tcPr>
            <w:tcW w:w="496" w:type="pct"/>
          </w:tcPr>
          <w:p w14:paraId="7EC8FCF1">
            <w:pPr>
              <w:rPr>
                <w:rFonts w:hint="eastAsia" w:ascii="宋体" w:hAnsi="宋体" w:cs="宋体"/>
                <w:sz w:val="24"/>
                <w:szCs w:val="24"/>
              </w:rPr>
            </w:pPr>
          </w:p>
        </w:tc>
        <w:tc>
          <w:tcPr>
            <w:tcW w:w="496" w:type="pct"/>
          </w:tcPr>
          <w:p w14:paraId="7F9CA182">
            <w:pPr>
              <w:rPr>
                <w:rFonts w:hint="eastAsia" w:ascii="宋体" w:hAnsi="宋体" w:cs="宋体"/>
                <w:sz w:val="24"/>
                <w:szCs w:val="24"/>
              </w:rPr>
            </w:pPr>
          </w:p>
        </w:tc>
        <w:tc>
          <w:tcPr>
            <w:tcW w:w="496" w:type="pct"/>
          </w:tcPr>
          <w:p w14:paraId="36ECF116">
            <w:pPr>
              <w:rPr>
                <w:rFonts w:hint="eastAsia" w:ascii="宋体" w:hAnsi="宋体" w:cs="宋体"/>
                <w:sz w:val="24"/>
                <w:szCs w:val="24"/>
              </w:rPr>
            </w:pPr>
          </w:p>
        </w:tc>
        <w:tc>
          <w:tcPr>
            <w:tcW w:w="496" w:type="pct"/>
          </w:tcPr>
          <w:p w14:paraId="3AE9B262">
            <w:pPr>
              <w:rPr>
                <w:rFonts w:hint="eastAsia" w:ascii="宋体" w:hAnsi="宋体" w:cs="宋体"/>
                <w:sz w:val="24"/>
                <w:szCs w:val="24"/>
              </w:rPr>
            </w:pPr>
          </w:p>
        </w:tc>
        <w:tc>
          <w:tcPr>
            <w:tcW w:w="337" w:type="pct"/>
          </w:tcPr>
          <w:p w14:paraId="326D27D4">
            <w:pPr>
              <w:rPr>
                <w:rFonts w:hint="eastAsia" w:ascii="宋体" w:hAnsi="宋体" w:cs="宋体"/>
                <w:sz w:val="24"/>
                <w:szCs w:val="24"/>
              </w:rPr>
            </w:pPr>
          </w:p>
        </w:tc>
        <w:tc>
          <w:tcPr>
            <w:tcW w:w="346" w:type="pct"/>
          </w:tcPr>
          <w:p w14:paraId="209DBBC5">
            <w:pPr>
              <w:rPr>
                <w:rFonts w:hint="eastAsia" w:ascii="宋体" w:hAnsi="宋体" w:cs="宋体"/>
                <w:sz w:val="24"/>
                <w:szCs w:val="24"/>
              </w:rPr>
            </w:pPr>
          </w:p>
        </w:tc>
        <w:tc>
          <w:tcPr>
            <w:tcW w:w="423" w:type="pct"/>
          </w:tcPr>
          <w:p w14:paraId="5E39408B">
            <w:pPr>
              <w:rPr>
                <w:rFonts w:hint="eastAsia" w:ascii="宋体" w:hAnsi="宋体" w:cs="宋体"/>
                <w:sz w:val="24"/>
                <w:szCs w:val="24"/>
              </w:rPr>
            </w:pPr>
          </w:p>
        </w:tc>
      </w:tr>
      <w:tr w14:paraId="4F7D0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10" w:type="pct"/>
          </w:tcPr>
          <w:p w14:paraId="766B5EC1">
            <w:pPr>
              <w:spacing w:before="54" w:line="202" w:lineRule="auto"/>
              <w:ind w:left="381"/>
              <w:rPr>
                <w:rFonts w:hint="eastAsia" w:ascii="宋体" w:hAnsi="宋体" w:cs="宋体"/>
                <w:sz w:val="24"/>
                <w:szCs w:val="24"/>
              </w:rPr>
            </w:pPr>
            <w:r>
              <w:rPr>
                <w:rFonts w:hint="eastAsia" w:ascii="宋体" w:hAnsi="宋体" w:cs="宋体"/>
                <w:spacing w:val="2"/>
                <w:sz w:val="24"/>
                <w:szCs w:val="24"/>
              </w:rPr>
              <w:t>6</w:t>
            </w:r>
          </w:p>
        </w:tc>
        <w:tc>
          <w:tcPr>
            <w:tcW w:w="775" w:type="pct"/>
          </w:tcPr>
          <w:p w14:paraId="101F0E1F">
            <w:pPr>
              <w:spacing w:before="29" w:line="219" w:lineRule="auto"/>
              <w:ind w:left="155"/>
              <w:rPr>
                <w:rFonts w:hint="eastAsia" w:ascii="宋体" w:hAnsi="宋体" w:cs="宋体"/>
                <w:sz w:val="24"/>
                <w:szCs w:val="24"/>
              </w:rPr>
            </w:pPr>
          </w:p>
        </w:tc>
        <w:tc>
          <w:tcPr>
            <w:tcW w:w="390" w:type="pct"/>
          </w:tcPr>
          <w:p w14:paraId="126D866B">
            <w:pPr>
              <w:rPr>
                <w:rFonts w:hint="eastAsia" w:ascii="宋体" w:hAnsi="宋体" w:cs="宋体"/>
                <w:sz w:val="24"/>
                <w:szCs w:val="24"/>
              </w:rPr>
            </w:pPr>
          </w:p>
        </w:tc>
        <w:tc>
          <w:tcPr>
            <w:tcW w:w="431" w:type="pct"/>
          </w:tcPr>
          <w:p w14:paraId="0ECA7178">
            <w:pPr>
              <w:rPr>
                <w:rFonts w:hint="eastAsia" w:ascii="宋体" w:hAnsi="宋体" w:cs="宋体"/>
                <w:sz w:val="24"/>
                <w:szCs w:val="24"/>
              </w:rPr>
            </w:pPr>
          </w:p>
        </w:tc>
        <w:tc>
          <w:tcPr>
            <w:tcW w:w="496" w:type="pct"/>
          </w:tcPr>
          <w:p w14:paraId="076FBDB9">
            <w:pPr>
              <w:rPr>
                <w:rFonts w:hint="eastAsia" w:ascii="宋体" w:hAnsi="宋体" w:cs="宋体"/>
                <w:sz w:val="24"/>
                <w:szCs w:val="24"/>
              </w:rPr>
            </w:pPr>
          </w:p>
        </w:tc>
        <w:tc>
          <w:tcPr>
            <w:tcW w:w="496" w:type="pct"/>
          </w:tcPr>
          <w:p w14:paraId="64CE0D5D">
            <w:pPr>
              <w:rPr>
                <w:rFonts w:hint="eastAsia" w:ascii="宋体" w:hAnsi="宋体" w:cs="宋体"/>
                <w:sz w:val="24"/>
                <w:szCs w:val="24"/>
              </w:rPr>
            </w:pPr>
          </w:p>
        </w:tc>
        <w:tc>
          <w:tcPr>
            <w:tcW w:w="496" w:type="pct"/>
          </w:tcPr>
          <w:p w14:paraId="4FE39A9A">
            <w:pPr>
              <w:rPr>
                <w:rFonts w:hint="eastAsia" w:ascii="宋体" w:hAnsi="宋体" w:cs="宋体"/>
                <w:sz w:val="24"/>
                <w:szCs w:val="24"/>
              </w:rPr>
            </w:pPr>
          </w:p>
        </w:tc>
        <w:tc>
          <w:tcPr>
            <w:tcW w:w="496" w:type="pct"/>
          </w:tcPr>
          <w:p w14:paraId="69AEDC69">
            <w:pPr>
              <w:rPr>
                <w:rFonts w:hint="eastAsia" w:ascii="宋体" w:hAnsi="宋体" w:cs="宋体"/>
                <w:sz w:val="24"/>
                <w:szCs w:val="24"/>
              </w:rPr>
            </w:pPr>
          </w:p>
        </w:tc>
        <w:tc>
          <w:tcPr>
            <w:tcW w:w="337" w:type="pct"/>
          </w:tcPr>
          <w:p w14:paraId="744A9982">
            <w:pPr>
              <w:rPr>
                <w:rFonts w:hint="eastAsia" w:ascii="宋体" w:hAnsi="宋体" w:cs="宋体"/>
                <w:sz w:val="24"/>
                <w:szCs w:val="24"/>
              </w:rPr>
            </w:pPr>
          </w:p>
        </w:tc>
        <w:tc>
          <w:tcPr>
            <w:tcW w:w="346" w:type="pct"/>
          </w:tcPr>
          <w:p w14:paraId="6CF0099C">
            <w:pPr>
              <w:rPr>
                <w:rFonts w:hint="eastAsia" w:ascii="宋体" w:hAnsi="宋体" w:cs="宋体"/>
                <w:sz w:val="24"/>
                <w:szCs w:val="24"/>
              </w:rPr>
            </w:pPr>
          </w:p>
        </w:tc>
        <w:tc>
          <w:tcPr>
            <w:tcW w:w="423" w:type="pct"/>
          </w:tcPr>
          <w:p w14:paraId="4FAD8967">
            <w:pPr>
              <w:rPr>
                <w:rFonts w:hint="eastAsia" w:ascii="宋体" w:hAnsi="宋体" w:cs="宋体"/>
                <w:sz w:val="24"/>
                <w:szCs w:val="24"/>
              </w:rPr>
            </w:pPr>
          </w:p>
        </w:tc>
      </w:tr>
      <w:tr w14:paraId="642FF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310" w:type="pct"/>
          </w:tcPr>
          <w:p w14:paraId="0A3FDB2C">
            <w:pPr>
              <w:spacing w:before="57" w:line="199" w:lineRule="auto"/>
              <w:ind w:left="384"/>
              <w:rPr>
                <w:rFonts w:hint="eastAsia" w:ascii="宋体" w:hAnsi="宋体" w:cs="宋体"/>
                <w:sz w:val="24"/>
                <w:szCs w:val="24"/>
              </w:rPr>
            </w:pPr>
            <w:r>
              <w:rPr>
                <w:rFonts w:hint="eastAsia" w:ascii="宋体" w:hAnsi="宋体" w:cs="宋体"/>
                <w:sz w:val="24"/>
                <w:szCs w:val="24"/>
              </w:rPr>
              <w:t>7</w:t>
            </w:r>
          </w:p>
        </w:tc>
        <w:tc>
          <w:tcPr>
            <w:tcW w:w="775" w:type="pct"/>
          </w:tcPr>
          <w:p w14:paraId="4EC7D5D0">
            <w:pPr>
              <w:spacing w:before="31" w:line="217" w:lineRule="auto"/>
              <w:ind w:left="872"/>
              <w:rPr>
                <w:rFonts w:hint="eastAsia" w:ascii="宋体" w:hAnsi="宋体" w:cs="宋体"/>
                <w:sz w:val="24"/>
                <w:szCs w:val="24"/>
              </w:rPr>
            </w:pPr>
          </w:p>
        </w:tc>
        <w:tc>
          <w:tcPr>
            <w:tcW w:w="390" w:type="pct"/>
          </w:tcPr>
          <w:p w14:paraId="63627A8E">
            <w:pPr>
              <w:rPr>
                <w:rFonts w:hint="eastAsia" w:ascii="宋体" w:hAnsi="宋体" w:cs="宋体"/>
                <w:sz w:val="24"/>
                <w:szCs w:val="24"/>
              </w:rPr>
            </w:pPr>
          </w:p>
        </w:tc>
        <w:tc>
          <w:tcPr>
            <w:tcW w:w="431" w:type="pct"/>
          </w:tcPr>
          <w:p w14:paraId="54048C4D">
            <w:pPr>
              <w:rPr>
                <w:rFonts w:hint="eastAsia" w:ascii="宋体" w:hAnsi="宋体" w:cs="宋体"/>
                <w:sz w:val="24"/>
                <w:szCs w:val="24"/>
              </w:rPr>
            </w:pPr>
          </w:p>
        </w:tc>
        <w:tc>
          <w:tcPr>
            <w:tcW w:w="496" w:type="pct"/>
          </w:tcPr>
          <w:p w14:paraId="4D874355">
            <w:pPr>
              <w:rPr>
                <w:rFonts w:hint="eastAsia" w:ascii="宋体" w:hAnsi="宋体" w:cs="宋体"/>
                <w:sz w:val="24"/>
                <w:szCs w:val="24"/>
              </w:rPr>
            </w:pPr>
          </w:p>
        </w:tc>
        <w:tc>
          <w:tcPr>
            <w:tcW w:w="496" w:type="pct"/>
          </w:tcPr>
          <w:p w14:paraId="592EFA28">
            <w:pPr>
              <w:rPr>
                <w:rFonts w:hint="eastAsia" w:ascii="宋体" w:hAnsi="宋体" w:cs="宋体"/>
                <w:sz w:val="24"/>
                <w:szCs w:val="24"/>
              </w:rPr>
            </w:pPr>
          </w:p>
        </w:tc>
        <w:tc>
          <w:tcPr>
            <w:tcW w:w="496" w:type="pct"/>
          </w:tcPr>
          <w:p w14:paraId="7A3FA80B">
            <w:pPr>
              <w:rPr>
                <w:rFonts w:hint="eastAsia" w:ascii="宋体" w:hAnsi="宋体" w:cs="宋体"/>
                <w:sz w:val="24"/>
                <w:szCs w:val="24"/>
              </w:rPr>
            </w:pPr>
          </w:p>
        </w:tc>
        <w:tc>
          <w:tcPr>
            <w:tcW w:w="496" w:type="pct"/>
          </w:tcPr>
          <w:p w14:paraId="771EB431">
            <w:pPr>
              <w:rPr>
                <w:rFonts w:hint="eastAsia" w:ascii="宋体" w:hAnsi="宋体" w:cs="宋体"/>
                <w:sz w:val="24"/>
                <w:szCs w:val="24"/>
              </w:rPr>
            </w:pPr>
          </w:p>
        </w:tc>
        <w:tc>
          <w:tcPr>
            <w:tcW w:w="337" w:type="pct"/>
          </w:tcPr>
          <w:p w14:paraId="6FF3A1ED">
            <w:pPr>
              <w:rPr>
                <w:rFonts w:hint="eastAsia" w:ascii="宋体" w:hAnsi="宋体" w:cs="宋体"/>
                <w:sz w:val="24"/>
                <w:szCs w:val="24"/>
              </w:rPr>
            </w:pPr>
          </w:p>
        </w:tc>
        <w:tc>
          <w:tcPr>
            <w:tcW w:w="346" w:type="pct"/>
          </w:tcPr>
          <w:p w14:paraId="7097F11D">
            <w:pPr>
              <w:rPr>
                <w:rFonts w:hint="eastAsia" w:ascii="宋体" w:hAnsi="宋体" w:cs="宋体"/>
                <w:sz w:val="24"/>
                <w:szCs w:val="24"/>
              </w:rPr>
            </w:pPr>
          </w:p>
        </w:tc>
        <w:tc>
          <w:tcPr>
            <w:tcW w:w="423" w:type="pct"/>
          </w:tcPr>
          <w:p w14:paraId="1009D4A8">
            <w:pPr>
              <w:rPr>
                <w:rFonts w:hint="eastAsia" w:ascii="宋体" w:hAnsi="宋体" w:cs="宋体"/>
                <w:sz w:val="24"/>
                <w:szCs w:val="24"/>
              </w:rPr>
            </w:pPr>
          </w:p>
        </w:tc>
      </w:tr>
      <w:tr w14:paraId="08EFC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10" w:type="pct"/>
          </w:tcPr>
          <w:p w14:paraId="1E860812">
            <w:pPr>
              <w:spacing w:before="211" w:line="202" w:lineRule="auto"/>
              <w:ind w:left="381"/>
              <w:rPr>
                <w:rFonts w:hint="eastAsia" w:ascii="宋体" w:hAnsi="宋体" w:cs="宋体"/>
                <w:sz w:val="24"/>
                <w:szCs w:val="24"/>
              </w:rPr>
            </w:pPr>
            <w:r>
              <w:rPr>
                <w:rFonts w:hint="eastAsia" w:ascii="宋体" w:hAnsi="宋体" w:cs="宋体"/>
                <w:spacing w:val="2"/>
                <w:sz w:val="24"/>
                <w:szCs w:val="24"/>
              </w:rPr>
              <w:t>8</w:t>
            </w:r>
          </w:p>
        </w:tc>
        <w:tc>
          <w:tcPr>
            <w:tcW w:w="775" w:type="pct"/>
          </w:tcPr>
          <w:p w14:paraId="16F05BF4">
            <w:pPr>
              <w:spacing w:before="34" w:line="216" w:lineRule="auto"/>
              <w:ind w:left="631"/>
              <w:rPr>
                <w:rFonts w:hint="eastAsia" w:ascii="宋体" w:hAnsi="宋体" w:cs="宋体"/>
                <w:sz w:val="24"/>
                <w:szCs w:val="24"/>
              </w:rPr>
            </w:pPr>
          </w:p>
        </w:tc>
        <w:tc>
          <w:tcPr>
            <w:tcW w:w="390" w:type="pct"/>
          </w:tcPr>
          <w:p w14:paraId="1E046913">
            <w:pPr>
              <w:rPr>
                <w:rFonts w:hint="eastAsia" w:ascii="宋体" w:hAnsi="宋体" w:cs="宋体"/>
                <w:sz w:val="24"/>
                <w:szCs w:val="24"/>
              </w:rPr>
            </w:pPr>
          </w:p>
        </w:tc>
        <w:tc>
          <w:tcPr>
            <w:tcW w:w="431" w:type="pct"/>
          </w:tcPr>
          <w:p w14:paraId="2A3FB1AE">
            <w:pPr>
              <w:rPr>
                <w:rFonts w:hint="eastAsia" w:ascii="宋体" w:hAnsi="宋体" w:cs="宋体"/>
                <w:sz w:val="24"/>
                <w:szCs w:val="24"/>
              </w:rPr>
            </w:pPr>
          </w:p>
        </w:tc>
        <w:tc>
          <w:tcPr>
            <w:tcW w:w="496" w:type="pct"/>
          </w:tcPr>
          <w:p w14:paraId="68902764">
            <w:pPr>
              <w:rPr>
                <w:rFonts w:hint="eastAsia" w:ascii="宋体" w:hAnsi="宋体" w:cs="宋体"/>
                <w:sz w:val="24"/>
                <w:szCs w:val="24"/>
              </w:rPr>
            </w:pPr>
          </w:p>
        </w:tc>
        <w:tc>
          <w:tcPr>
            <w:tcW w:w="496" w:type="pct"/>
          </w:tcPr>
          <w:p w14:paraId="7D441698">
            <w:pPr>
              <w:rPr>
                <w:rFonts w:hint="eastAsia" w:ascii="宋体" w:hAnsi="宋体" w:cs="宋体"/>
                <w:sz w:val="24"/>
                <w:szCs w:val="24"/>
              </w:rPr>
            </w:pPr>
          </w:p>
        </w:tc>
        <w:tc>
          <w:tcPr>
            <w:tcW w:w="496" w:type="pct"/>
          </w:tcPr>
          <w:p w14:paraId="3823BB4E">
            <w:pPr>
              <w:rPr>
                <w:rFonts w:hint="eastAsia" w:ascii="宋体" w:hAnsi="宋体" w:cs="宋体"/>
                <w:sz w:val="24"/>
                <w:szCs w:val="24"/>
              </w:rPr>
            </w:pPr>
          </w:p>
        </w:tc>
        <w:tc>
          <w:tcPr>
            <w:tcW w:w="496" w:type="pct"/>
          </w:tcPr>
          <w:p w14:paraId="4DD5835D">
            <w:pPr>
              <w:rPr>
                <w:rFonts w:hint="eastAsia" w:ascii="宋体" w:hAnsi="宋体" w:cs="宋体"/>
                <w:sz w:val="24"/>
                <w:szCs w:val="24"/>
              </w:rPr>
            </w:pPr>
          </w:p>
        </w:tc>
        <w:tc>
          <w:tcPr>
            <w:tcW w:w="337" w:type="pct"/>
          </w:tcPr>
          <w:p w14:paraId="131D736F">
            <w:pPr>
              <w:rPr>
                <w:rFonts w:hint="eastAsia" w:ascii="宋体" w:hAnsi="宋体" w:cs="宋体"/>
                <w:sz w:val="24"/>
                <w:szCs w:val="24"/>
              </w:rPr>
            </w:pPr>
          </w:p>
        </w:tc>
        <w:tc>
          <w:tcPr>
            <w:tcW w:w="346" w:type="pct"/>
          </w:tcPr>
          <w:p w14:paraId="6BE22B55">
            <w:pPr>
              <w:rPr>
                <w:rFonts w:hint="eastAsia" w:ascii="宋体" w:hAnsi="宋体" w:cs="宋体"/>
                <w:sz w:val="24"/>
                <w:szCs w:val="24"/>
              </w:rPr>
            </w:pPr>
          </w:p>
        </w:tc>
        <w:tc>
          <w:tcPr>
            <w:tcW w:w="423" w:type="pct"/>
          </w:tcPr>
          <w:p w14:paraId="5EA55D0E">
            <w:pPr>
              <w:rPr>
                <w:rFonts w:hint="eastAsia" w:ascii="宋体" w:hAnsi="宋体" w:cs="宋体"/>
                <w:sz w:val="24"/>
                <w:szCs w:val="24"/>
              </w:rPr>
            </w:pPr>
          </w:p>
        </w:tc>
      </w:tr>
      <w:tr w14:paraId="222FF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310" w:type="pct"/>
          </w:tcPr>
          <w:p w14:paraId="70E3BAF0">
            <w:pPr>
              <w:spacing w:before="57" w:line="199" w:lineRule="auto"/>
              <w:ind w:left="384"/>
              <w:rPr>
                <w:rFonts w:hint="eastAsia" w:ascii="宋体" w:hAnsi="宋体" w:cs="宋体"/>
                <w:sz w:val="24"/>
                <w:szCs w:val="24"/>
              </w:rPr>
            </w:pPr>
            <w:r>
              <w:rPr>
                <w:rFonts w:hint="eastAsia" w:ascii="宋体" w:hAnsi="宋体" w:cs="宋体"/>
                <w:sz w:val="24"/>
                <w:szCs w:val="24"/>
              </w:rPr>
              <w:t>9</w:t>
            </w:r>
          </w:p>
        </w:tc>
        <w:tc>
          <w:tcPr>
            <w:tcW w:w="775" w:type="pct"/>
          </w:tcPr>
          <w:p w14:paraId="6B8782A5">
            <w:pPr>
              <w:spacing w:before="34" w:line="216" w:lineRule="auto"/>
              <w:ind w:left="872"/>
              <w:rPr>
                <w:rFonts w:hint="eastAsia" w:ascii="宋体" w:hAnsi="宋体" w:cs="宋体"/>
                <w:sz w:val="24"/>
                <w:szCs w:val="24"/>
              </w:rPr>
            </w:pPr>
          </w:p>
        </w:tc>
        <w:tc>
          <w:tcPr>
            <w:tcW w:w="390" w:type="pct"/>
          </w:tcPr>
          <w:p w14:paraId="48ABDEB7">
            <w:pPr>
              <w:rPr>
                <w:rFonts w:hint="eastAsia" w:ascii="宋体" w:hAnsi="宋体" w:cs="宋体"/>
                <w:sz w:val="24"/>
                <w:szCs w:val="24"/>
              </w:rPr>
            </w:pPr>
          </w:p>
        </w:tc>
        <w:tc>
          <w:tcPr>
            <w:tcW w:w="431" w:type="pct"/>
          </w:tcPr>
          <w:p w14:paraId="048BE62E">
            <w:pPr>
              <w:rPr>
                <w:rFonts w:hint="eastAsia" w:ascii="宋体" w:hAnsi="宋体" w:cs="宋体"/>
                <w:sz w:val="24"/>
                <w:szCs w:val="24"/>
              </w:rPr>
            </w:pPr>
          </w:p>
        </w:tc>
        <w:tc>
          <w:tcPr>
            <w:tcW w:w="496" w:type="pct"/>
          </w:tcPr>
          <w:p w14:paraId="060A2212">
            <w:pPr>
              <w:rPr>
                <w:rFonts w:hint="eastAsia" w:ascii="宋体" w:hAnsi="宋体" w:cs="宋体"/>
                <w:sz w:val="24"/>
                <w:szCs w:val="24"/>
              </w:rPr>
            </w:pPr>
          </w:p>
        </w:tc>
        <w:tc>
          <w:tcPr>
            <w:tcW w:w="496" w:type="pct"/>
          </w:tcPr>
          <w:p w14:paraId="4DC9B839">
            <w:pPr>
              <w:rPr>
                <w:rFonts w:hint="eastAsia" w:ascii="宋体" w:hAnsi="宋体" w:cs="宋体"/>
                <w:sz w:val="24"/>
                <w:szCs w:val="24"/>
              </w:rPr>
            </w:pPr>
          </w:p>
        </w:tc>
        <w:tc>
          <w:tcPr>
            <w:tcW w:w="496" w:type="pct"/>
          </w:tcPr>
          <w:p w14:paraId="4EAD3893">
            <w:pPr>
              <w:rPr>
                <w:rFonts w:hint="eastAsia" w:ascii="宋体" w:hAnsi="宋体" w:cs="宋体"/>
                <w:sz w:val="24"/>
                <w:szCs w:val="24"/>
              </w:rPr>
            </w:pPr>
          </w:p>
        </w:tc>
        <w:tc>
          <w:tcPr>
            <w:tcW w:w="496" w:type="pct"/>
          </w:tcPr>
          <w:p w14:paraId="66603F62">
            <w:pPr>
              <w:rPr>
                <w:rFonts w:hint="eastAsia" w:ascii="宋体" w:hAnsi="宋体" w:cs="宋体"/>
                <w:sz w:val="24"/>
                <w:szCs w:val="24"/>
              </w:rPr>
            </w:pPr>
          </w:p>
        </w:tc>
        <w:tc>
          <w:tcPr>
            <w:tcW w:w="337" w:type="pct"/>
          </w:tcPr>
          <w:p w14:paraId="156C8698">
            <w:pPr>
              <w:rPr>
                <w:rFonts w:hint="eastAsia" w:ascii="宋体" w:hAnsi="宋体" w:cs="宋体"/>
                <w:sz w:val="24"/>
                <w:szCs w:val="24"/>
              </w:rPr>
            </w:pPr>
          </w:p>
        </w:tc>
        <w:tc>
          <w:tcPr>
            <w:tcW w:w="346" w:type="pct"/>
          </w:tcPr>
          <w:p w14:paraId="7F742F96">
            <w:pPr>
              <w:rPr>
                <w:rFonts w:hint="eastAsia" w:ascii="宋体" w:hAnsi="宋体" w:cs="宋体"/>
                <w:sz w:val="24"/>
                <w:szCs w:val="24"/>
              </w:rPr>
            </w:pPr>
          </w:p>
        </w:tc>
        <w:tc>
          <w:tcPr>
            <w:tcW w:w="423" w:type="pct"/>
          </w:tcPr>
          <w:p w14:paraId="27527A71">
            <w:pPr>
              <w:rPr>
                <w:rFonts w:hint="eastAsia" w:ascii="宋体" w:hAnsi="宋体" w:cs="宋体"/>
                <w:sz w:val="24"/>
                <w:szCs w:val="24"/>
              </w:rPr>
            </w:pPr>
          </w:p>
        </w:tc>
      </w:tr>
      <w:tr w14:paraId="3058C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310" w:type="pct"/>
          </w:tcPr>
          <w:p w14:paraId="2565A979">
            <w:pPr>
              <w:spacing w:before="211" w:line="202" w:lineRule="auto"/>
              <w:ind w:left="381"/>
              <w:rPr>
                <w:rFonts w:hint="eastAsia" w:ascii="宋体" w:hAnsi="宋体" w:cs="宋体"/>
                <w:sz w:val="24"/>
                <w:szCs w:val="24"/>
              </w:rPr>
            </w:pPr>
            <w:r>
              <w:rPr>
                <w:rFonts w:hint="eastAsia" w:ascii="宋体" w:hAnsi="宋体" w:cs="宋体"/>
                <w:sz w:val="24"/>
                <w:szCs w:val="24"/>
              </w:rPr>
              <w:t>10</w:t>
            </w:r>
          </w:p>
        </w:tc>
        <w:tc>
          <w:tcPr>
            <w:tcW w:w="775" w:type="pct"/>
          </w:tcPr>
          <w:p w14:paraId="48235FBF">
            <w:pPr>
              <w:spacing w:before="36" w:line="226" w:lineRule="auto"/>
              <w:ind w:left="1004" w:right="142" w:hanging="851"/>
              <w:rPr>
                <w:rFonts w:hint="eastAsia" w:ascii="宋体" w:hAnsi="宋体" w:cs="宋体"/>
                <w:sz w:val="24"/>
                <w:szCs w:val="24"/>
              </w:rPr>
            </w:pPr>
          </w:p>
        </w:tc>
        <w:tc>
          <w:tcPr>
            <w:tcW w:w="390" w:type="pct"/>
          </w:tcPr>
          <w:p w14:paraId="101D0598">
            <w:pPr>
              <w:rPr>
                <w:rFonts w:hint="eastAsia" w:ascii="宋体" w:hAnsi="宋体" w:cs="宋体"/>
                <w:sz w:val="24"/>
                <w:szCs w:val="24"/>
              </w:rPr>
            </w:pPr>
          </w:p>
        </w:tc>
        <w:tc>
          <w:tcPr>
            <w:tcW w:w="431" w:type="pct"/>
          </w:tcPr>
          <w:p w14:paraId="446C5E94">
            <w:pPr>
              <w:rPr>
                <w:rFonts w:hint="eastAsia" w:ascii="宋体" w:hAnsi="宋体" w:cs="宋体"/>
                <w:sz w:val="24"/>
                <w:szCs w:val="24"/>
              </w:rPr>
            </w:pPr>
          </w:p>
        </w:tc>
        <w:tc>
          <w:tcPr>
            <w:tcW w:w="496" w:type="pct"/>
          </w:tcPr>
          <w:p w14:paraId="0C751CC0">
            <w:pPr>
              <w:rPr>
                <w:rFonts w:hint="eastAsia" w:ascii="宋体" w:hAnsi="宋体" w:cs="宋体"/>
                <w:sz w:val="24"/>
                <w:szCs w:val="24"/>
              </w:rPr>
            </w:pPr>
          </w:p>
        </w:tc>
        <w:tc>
          <w:tcPr>
            <w:tcW w:w="496" w:type="pct"/>
          </w:tcPr>
          <w:p w14:paraId="03DCA215">
            <w:pPr>
              <w:rPr>
                <w:rFonts w:hint="eastAsia" w:ascii="宋体" w:hAnsi="宋体" w:cs="宋体"/>
                <w:sz w:val="24"/>
                <w:szCs w:val="24"/>
              </w:rPr>
            </w:pPr>
          </w:p>
        </w:tc>
        <w:tc>
          <w:tcPr>
            <w:tcW w:w="496" w:type="pct"/>
          </w:tcPr>
          <w:p w14:paraId="4242B92D">
            <w:pPr>
              <w:rPr>
                <w:rFonts w:hint="eastAsia" w:ascii="宋体" w:hAnsi="宋体" w:cs="宋体"/>
                <w:sz w:val="24"/>
                <w:szCs w:val="24"/>
              </w:rPr>
            </w:pPr>
          </w:p>
        </w:tc>
        <w:tc>
          <w:tcPr>
            <w:tcW w:w="496" w:type="pct"/>
          </w:tcPr>
          <w:p w14:paraId="14C6BA02">
            <w:pPr>
              <w:rPr>
                <w:rFonts w:hint="eastAsia" w:ascii="宋体" w:hAnsi="宋体" w:cs="宋体"/>
                <w:sz w:val="24"/>
                <w:szCs w:val="24"/>
              </w:rPr>
            </w:pPr>
          </w:p>
        </w:tc>
        <w:tc>
          <w:tcPr>
            <w:tcW w:w="337" w:type="pct"/>
          </w:tcPr>
          <w:p w14:paraId="26DA9D38">
            <w:pPr>
              <w:rPr>
                <w:rFonts w:hint="eastAsia" w:ascii="宋体" w:hAnsi="宋体" w:cs="宋体"/>
                <w:sz w:val="24"/>
                <w:szCs w:val="24"/>
              </w:rPr>
            </w:pPr>
          </w:p>
        </w:tc>
        <w:tc>
          <w:tcPr>
            <w:tcW w:w="346" w:type="pct"/>
          </w:tcPr>
          <w:p w14:paraId="2BCE338E">
            <w:pPr>
              <w:rPr>
                <w:rFonts w:hint="eastAsia" w:ascii="宋体" w:hAnsi="宋体" w:cs="宋体"/>
                <w:sz w:val="24"/>
                <w:szCs w:val="24"/>
              </w:rPr>
            </w:pPr>
          </w:p>
        </w:tc>
        <w:tc>
          <w:tcPr>
            <w:tcW w:w="423" w:type="pct"/>
          </w:tcPr>
          <w:p w14:paraId="209C89A2">
            <w:pPr>
              <w:rPr>
                <w:rFonts w:hint="eastAsia" w:ascii="宋体" w:hAnsi="宋体" w:cs="宋体"/>
                <w:sz w:val="24"/>
                <w:szCs w:val="24"/>
              </w:rPr>
            </w:pPr>
          </w:p>
        </w:tc>
      </w:tr>
      <w:tr w14:paraId="1FE3E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4576" w:type="pct"/>
            <w:gridSpan w:val="10"/>
          </w:tcPr>
          <w:p w14:paraId="58744264">
            <w:pPr>
              <w:spacing w:before="40" w:line="215" w:lineRule="auto"/>
              <w:ind w:left="5923"/>
              <w:rPr>
                <w:rFonts w:hint="eastAsia" w:ascii="宋体" w:hAnsi="宋体" w:cs="宋体"/>
                <w:sz w:val="24"/>
                <w:szCs w:val="24"/>
              </w:rPr>
            </w:pPr>
            <w:r>
              <w:rPr>
                <w:rFonts w:hint="eastAsia" w:ascii="宋体" w:hAnsi="宋体" w:cs="宋体"/>
                <w:spacing w:val="20"/>
                <w:sz w:val="24"/>
                <w:szCs w:val="24"/>
                <w14:textOutline w14:w="1536" w14:cap="flat" w14:cmpd="sng" w14:algn="ctr">
                  <w14:solidFill>
                    <w14:srgbClr w14:val="000000"/>
                  </w14:solidFill>
                  <w14:prstDash w14:val="solid"/>
                  <w14:miter w14:val="0"/>
                </w14:textOutline>
              </w:rPr>
              <w:t>总价(元</w:t>
            </w:r>
            <w:r>
              <w:rPr>
                <w:rFonts w:hint="eastAsia" w:ascii="宋体" w:hAnsi="宋体" w:cs="宋体"/>
                <w:spacing w:val="19"/>
                <w:sz w:val="24"/>
                <w:szCs w:val="24"/>
                <w14:textOutline w14:w="1536" w14:cap="flat" w14:cmpd="sng" w14:algn="ctr">
                  <w14:solidFill>
                    <w14:srgbClr w14:val="000000"/>
                  </w14:solidFill>
                  <w14:prstDash w14:val="solid"/>
                  <w14:miter w14:val="0"/>
                </w14:textOutline>
              </w:rPr>
              <w:t>)</w:t>
            </w:r>
          </w:p>
        </w:tc>
        <w:tc>
          <w:tcPr>
            <w:tcW w:w="423" w:type="pct"/>
          </w:tcPr>
          <w:p w14:paraId="7F23EA63">
            <w:pPr>
              <w:rPr>
                <w:rFonts w:hint="eastAsia" w:ascii="宋体" w:hAnsi="宋体" w:cs="宋体"/>
                <w:sz w:val="24"/>
                <w:szCs w:val="24"/>
              </w:rPr>
            </w:pPr>
          </w:p>
        </w:tc>
      </w:tr>
    </w:tbl>
    <w:p w14:paraId="04FC835F">
      <w:pPr>
        <w:rPr>
          <w:rFonts w:hint="eastAsia" w:ascii="宋体" w:hAnsi="宋体" w:cs="宋体"/>
          <w:color w:val="000000"/>
          <w:szCs w:val="21"/>
        </w:rPr>
      </w:pPr>
    </w:p>
    <w:p w14:paraId="66488B68">
      <w:pPr>
        <w:rPr>
          <w:rFonts w:hint="eastAsia" w:ascii="宋体" w:hAnsi="宋体" w:cs="宋体"/>
          <w:color w:val="000000"/>
          <w:sz w:val="24"/>
          <w:szCs w:val="24"/>
        </w:rPr>
      </w:pPr>
      <w:r>
        <w:rPr>
          <w:rFonts w:ascii="宋体" w:hAnsi="宋体" w:cs="宋体"/>
          <w:color w:val="000000"/>
          <w:sz w:val="24"/>
          <w:szCs w:val="24"/>
        </w:rPr>
        <w:t>说明：制造商规模请填写“中型”、“小型”、“微型”或“其他”，中小企业的定义见第</w:t>
      </w:r>
      <w:r>
        <w:rPr>
          <w:rFonts w:hint="eastAsia" w:ascii="宋体" w:hAnsi="宋体" w:cs="宋体"/>
          <w:color w:val="000000"/>
          <w:sz w:val="24"/>
          <w:szCs w:val="24"/>
        </w:rPr>
        <w:t>七</w:t>
      </w:r>
      <w:r>
        <w:rPr>
          <w:rFonts w:ascii="宋体" w:hAnsi="宋体" w:cs="宋体"/>
          <w:color w:val="000000"/>
          <w:sz w:val="24"/>
          <w:szCs w:val="24"/>
        </w:rPr>
        <w:t>章</w:t>
      </w:r>
      <w:r>
        <w:rPr>
          <w:rFonts w:hint="eastAsia" w:ascii="宋体" w:hAnsi="宋体" w:cs="宋体"/>
          <w:color w:val="000000"/>
          <w:sz w:val="24"/>
          <w:szCs w:val="24"/>
        </w:rPr>
        <w:t xml:space="preserve"> 附件</w:t>
      </w:r>
      <w:r>
        <w:rPr>
          <w:rFonts w:ascii="宋体" w:hAnsi="宋体" w:cs="宋体"/>
          <w:color w:val="000000"/>
          <w:sz w:val="24"/>
          <w:szCs w:val="24"/>
        </w:rPr>
        <w:t>。</w:t>
      </w:r>
    </w:p>
    <w:p w14:paraId="081901F5">
      <w:pPr>
        <w:rPr>
          <w:rFonts w:hint="eastAsia" w:ascii="宋体" w:hAnsi="宋体" w:cs="宋体"/>
          <w:color w:val="000000"/>
          <w:szCs w:val="21"/>
        </w:rPr>
      </w:pPr>
    </w:p>
    <w:p w14:paraId="426CBA11">
      <w:pPr>
        <w:pStyle w:val="10"/>
        <w:spacing w:line="480" w:lineRule="auto"/>
        <w:rPr>
          <w:rFonts w:hint="eastAsia" w:hAnsi="宋体" w:cs="宋体"/>
          <w:b/>
          <w:bCs/>
          <w:sz w:val="24"/>
          <w:szCs w:val="24"/>
          <w:u w:val="single"/>
        </w:rPr>
      </w:pPr>
      <w:r>
        <w:rPr>
          <w:rFonts w:hAnsi="宋体" w:cs="宋体"/>
          <w:b/>
          <w:bCs/>
          <w:sz w:val="24"/>
          <w:szCs w:val="24"/>
          <w:lang w:val="zh-CN"/>
        </w:rPr>
        <w:t>投标人</w:t>
      </w:r>
      <w:r>
        <w:rPr>
          <w:rFonts w:hint="eastAsia" w:hAnsi="宋体" w:cs="宋体"/>
          <w:b/>
          <w:bCs/>
          <w:sz w:val="24"/>
          <w:szCs w:val="24"/>
          <w:lang w:val="zh-CN"/>
        </w:rPr>
        <w:t>名称（</w:t>
      </w:r>
      <w:r>
        <w:rPr>
          <w:rFonts w:hint="eastAsia" w:hAnsi="宋体" w:cs="宋体"/>
          <w:b/>
          <w:bCs/>
          <w:sz w:val="24"/>
          <w:szCs w:val="24"/>
        </w:rPr>
        <w:t>加盖公章</w:t>
      </w:r>
      <w:r>
        <w:rPr>
          <w:rFonts w:hint="eastAsia" w:hAnsi="宋体" w:cs="宋体"/>
          <w:b/>
          <w:bCs/>
          <w:sz w:val="24"/>
          <w:szCs w:val="24"/>
          <w:lang w:val="zh-CN"/>
        </w:rPr>
        <w:t>）</w:t>
      </w:r>
      <w:r>
        <w:rPr>
          <w:rFonts w:hAnsi="宋体" w:cs="宋体"/>
          <w:b/>
          <w:bCs/>
          <w:sz w:val="24"/>
          <w:szCs w:val="24"/>
          <w:lang w:val="zh-CN"/>
        </w:rPr>
        <w:t>：</w:t>
      </w:r>
      <w:r>
        <w:rPr>
          <w:rFonts w:hAnsi="宋体" w:cs="宋体"/>
          <w:b/>
          <w:bCs/>
          <w:sz w:val="24"/>
          <w:szCs w:val="24"/>
          <w:u w:val="single"/>
          <w:lang w:val="zh-CN"/>
        </w:rPr>
        <w:t xml:space="preserve">     </w:t>
      </w:r>
      <w:r>
        <w:rPr>
          <w:rFonts w:hint="eastAsia" w:hAnsi="宋体" w:cs="宋体"/>
          <w:b/>
          <w:bCs/>
          <w:sz w:val="24"/>
          <w:szCs w:val="24"/>
          <w:u w:val="single"/>
        </w:rPr>
        <w:t xml:space="preserve">              </w:t>
      </w:r>
    </w:p>
    <w:p w14:paraId="602B0281">
      <w:pPr>
        <w:pStyle w:val="10"/>
        <w:spacing w:line="480" w:lineRule="auto"/>
        <w:rPr>
          <w:rFonts w:hint="eastAsia" w:hAnsi="宋体" w:cs="宋体"/>
          <w:b/>
          <w:bCs/>
          <w:sz w:val="24"/>
          <w:szCs w:val="24"/>
          <w:u w:val="single"/>
        </w:rPr>
      </w:pPr>
      <w:r>
        <w:rPr>
          <w:rFonts w:hAnsi="宋体" w:cs="宋体"/>
          <w:b/>
          <w:bCs/>
          <w:sz w:val="24"/>
          <w:szCs w:val="24"/>
          <w:lang w:val="zh-CN"/>
        </w:rPr>
        <w:t>法定代表人</w:t>
      </w:r>
      <w:r>
        <w:rPr>
          <w:rFonts w:hint="eastAsia" w:hAnsi="宋体" w:cs="宋体"/>
          <w:b/>
          <w:bCs/>
          <w:sz w:val="24"/>
          <w:szCs w:val="24"/>
          <w:lang w:val="zh-CN"/>
        </w:rPr>
        <w:t>或授权代理人</w:t>
      </w:r>
      <w:r>
        <w:rPr>
          <w:rFonts w:hAnsi="宋体" w:cs="宋体"/>
          <w:b/>
          <w:bCs/>
          <w:sz w:val="24"/>
          <w:szCs w:val="24"/>
          <w:lang w:val="zh-CN"/>
        </w:rPr>
        <w:t>（盖章或签字）：</w:t>
      </w:r>
    </w:p>
    <w:p w14:paraId="6D0BF104">
      <w:pPr>
        <w:pStyle w:val="10"/>
        <w:spacing w:line="480" w:lineRule="auto"/>
        <w:rPr>
          <w:rFonts w:hint="eastAsia" w:hAnsi="宋体" w:cs="宋体"/>
          <w:b/>
          <w:bCs/>
          <w:sz w:val="24"/>
          <w:szCs w:val="24"/>
          <w:u w:val="single"/>
        </w:rPr>
        <w:sectPr>
          <w:pgSz w:w="16838" w:h="11906" w:orient="landscape"/>
          <w:pgMar w:top="1440" w:right="1080" w:bottom="1440" w:left="1080" w:header="851" w:footer="737" w:gutter="0"/>
          <w:cols w:space="720" w:num="1"/>
          <w:titlePg/>
          <w:docGrid w:linePitch="490" w:charSpace="0"/>
        </w:sectPr>
      </w:pPr>
      <w:r>
        <w:rPr>
          <w:rFonts w:hAnsi="宋体" w:cs="宋体"/>
          <w:b/>
          <w:bCs/>
          <w:sz w:val="24"/>
          <w:szCs w:val="24"/>
          <w:lang w:val="zh-CN"/>
        </w:rPr>
        <w:t>日 期：</w:t>
      </w:r>
      <w:r>
        <w:rPr>
          <w:rFonts w:hint="eastAsia" w:hAnsi="宋体" w:cs="宋体"/>
          <w:b/>
          <w:bCs/>
          <w:sz w:val="24"/>
          <w:szCs w:val="24"/>
          <w:u w:val="single"/>
        </w:rPr>
        <w:t xml:space="preserve">                                </w:t>
      </w:r>
    </w:p>
    <w:p w14:paraId="7E2A24B4">
      <w:pPr>
        <w:jc w:val="center"/>
        <w:rPr>
          <w:rFonts w:hint="eastAsia" w:ascii="宋体" w:hAnsi="宋体" w:cs="宋体"/>
          <w:b/>
          <w:bCs/>
          <w:sz w:val="28"/>
          <w:szCs w:val="28"/>
          <w:lang w:val="zh-CN"/>
        </w:rPr>
      </w:pPr>
      <w:r>
        <w:rPr>
          <w:rFonts w:hint="eastAsia" w:ascii="宋体" w:hAnsi="宋体" w:cs="宋体"/>
          <w:b/>
          <w:bCs/>
          <w:sz w:val="28"/>
          <w:szCs w:val="28"/>
        </w:rPr>
        <w:t>四、</w:t>
      </w:r>
      <w:r>
        <w:rPr>
          <w:rFonts w:hint="eastAsia" w:ascii="宋体" w:hAnsi="宋体" w:cs="宋体"/>
          <w:b/>
          <w:bCs/>
          <w:sz w:val="28"/>
          <w:szCs w:val="28"/>
          <w:lang w:val="zh-CN"/>
        </w:rPr>
        <w:t>售后服务承诺书</w:t>
      </w:r>
    </w:p>
    <w:p w14:paraId="31CF1024">
      <w:pPr>
        <w:pStyle w:val="73"/>
        <w:rPr>
          <w:lang w:val="zh-CN"/>
        </w:rPr>
      </w:pPr>
    </w:p>
    <w:p w14:paraId="6FAB0D91">
      <w:pPr>
        <w:spacing w:line="360" w:lineRule="auto"/>
        <w:rPr>
          <w:rFonts w:hint="eastAsia" w:ascii="宋体" w:hAnsi="宋体" w:cs="宋体"/>
          <w:sz w:val="24"/>
          <w:szCs w:val="24"/>
          <w:lang w:val="zh-CN"/>
        </w:rPr>
      </w:pPr>
      <w:r>
        <w:rPr>
          <w:rFonts w:hint="eastAsia" w:ascii="宋体" w:hAnsi="宋体" w:cs="宋体"/>
          <w:bCs/>
          <w:color w:val="000000"/>
          <w:sz w:val="24"/>
          <w:szCs w:val="24"/>
          <w:lang w:val="zh-CN"/>
        </w:rPr>
        <w:t>致</w:t>
      </w:r>
      <w:r>
        <w:rPr>
          <w:rFonts w:hint="eastAsia" w:ascii="宋体" w:hAnsi="宋体" w:cs="宋体"/>
          <w:bCs/>
          <w:color w:val="000000"/>
          <w:sz w:val="24"/>
          <w:szCs w:val="24"/>
          <w:u w:val="single"/>
          <w:lang w:val="zh-CN"/>
        </w:rPr>
        <w:t xml:space="preserve">      （采购人名称）            </w:t>
      </w:r>
      <w:r>
        <w:rPr>
          <w:rFonts w:hint="eastAsia" w:ascii="宋体" w:hAnsi="宋体" w:cs="宋体"/>
          <w:sz w:val="24"/>
          <w:szCs w:val="24"/>
          <w:lang w:val="zh-CN"/>
        </w:rPr>
        <w:t xml:space="preserve">： </w:t>
      </w:r>
    </w:p>
    <w:p w14:paraId="10346160">
      <w:pPr>
        <w:spacing w:line="360" w:lineRule="auto"/>
        <w:ind w:firstLine="480" w:firstLineChars="200"/>
        <w:rPr>
          <w:rFonts w:hint="eastAsia" w:ascii="宋体" w:hAnsi="宋体" w:cs="宋体"/>
          <w:sz w:val="24"/>
          <w:szCs w:val="24"/>
          <w:lang w:val="zh-CN"/>
        </w:rPr>
      </w:pPr>
      <w:r>
        <w:rPr>
          <w:rFonts w:hint="eastAsia" w:ascii="宋体" w:hAnsi="宋体" w:cs="宋体"/>
          <w:sz w:val="24"/>
          <w:szCs w:val="24"/>
          <w:lang w:val="zh-CN"/>
        </w:rPr>
        <w:t>我公司自愿参加</w:t>
      </w:r>
      <w:r>
        <w:rPr>
          <w:rFonts w:hint="eastAsia" w:ascii="宋体" w:hAnsi="宋体" w:cs="宋体"/>
          <w:sz w:val="24"/>
          <w:szCs w:val="24"/>
          <w:u w:val="single"/>
        </w:rPr>
        <w:t xml:space="preserve">  项目名称</w:t>
      </w:r>
      <w:r>
        <w:rPr>
          <w:rFonts w:hint="eastAsia" w:ascii="宋体" w:hAnsi="宋体" w:cs="宋体"/>
          <w:sz w:val="24"/>
          <w:szCs w:val="24"/>
          <w:lang w:val="zh-CN"/>
        </w:rPr>
        <w:t>（</w:t>
      </w:r>
      <w:r>
        <w:rPr>
          <w:rFonts w:hint="eastAsia" w:ascii="宋体" w:hAnsi="宋体" w:cs="宋体"/>
          <w:sz w:val="24"/>
          <w:szCs w:val="24"/>
        </w:rPr>
        <w:t>项目</w:t>
      </w:r>
      <w:r>
        <w:rPr>
          <w:rFonts w:hint="eastAsia" w:ascii="宋体" w:hAnsi="宋体" w:cs="宋体"/>
          <w:sz w:val="24"/>
          <w:szCs w:val="24"/>
          <w:lang w:val="zh-CN"/>
        </w:rPr>
        <w:t xml:space="preserve">编号：）的投标。我公司郑重承诺，如果我公司的投标被评定为中标，我公司对于中标货物，除完全响应招标文件对伴随服务和售后服务的所有要求外，还将按照以下条款提供优质和完善的售后服务： </w:t>
      </w:r>
    </w:p>
    <w:p w14:paraId="4488505B">
      <w:pPr>
        <w:numPr>
          <w:ilvl w:val="0"/>
          <w:numId w:val="11"/>
        </w:numPr>
        <w:spacing w:line="360" w:lineRule="auto"/>
        <w:rPr>
          <w:rFonts w:hint="eastAsia" w:ascii="宋体" w:hAnsi="宋体" w:cs="宋体"/>
          <w:sz w:val="24"/>
          <w:szCs w:val="24"/>
          <w:lang w:val="zh-CN"/>
        </w:rPr>
      </w:pPr>
      <w:r>
        <w:rPr>
          <w:rFonts w:hint="eastAsia" w:ascii="宋体" w:hAnsi="宋体" w:cs="宋体"/>
          <w:sz w:val="24"/>
          <w:szCs w:val="24"/>
          <w:lang w:val="zh-CN"/>
        </w:rPr>
        <w:t xml:space="preserve">我公司中标后将为采购人提供下列售后服务项目： </w:t>
      </w:r>
    </w:p>
    <w:p w14:paraId="3C7F7A8A">
      <w:pPr>
        <w:spacing w:line="360" w:lineRule="auto"/>
        <w:rPr>
          <w:rFonts w:hint="eastAsia" w:ascii="宋体" w:hAnsi="宋体" w:cs="宋体"/>
          <w:sz w:val="24"/>
          <w:szCs w:val="24"/>
          <w:lang w:val="zh-CN"/>
        </w:rPr>
      </w:pPr>
      <w:r>
        <w:rPr>
          <w:rFonts w:hint="eastAsia" w:ascii="宋体" w:hAnsi="宋体" w:cs="宋体"/>
          <w:sz w:val="24"/>
          <w:szCs w:val="24"/>
          <w:lang w:val="zh-CN"/>
        </w:rPr>
        <w:t xml:space="preserve">2、我公司的售后服务响应及到达现场的时间（包括质保期内免费维修和/或更换有缺陷的货物或部件的响应时间）： </w:t>
      </w:r>
    </w:p>
    <w:p w14:paraId="018CE4EA">
      <w:pPr>
        <w:spacing w:line="360" w:lineRule="auto"/>
        <w:rPr>
          <w:rFonts w:hint="eastAsia" w:ascii="宋体" w:hAnsi="宋体" w:cs="宋体"/>
          <w:sz w:val="24"/>
          <w:szCs w:val="24"/>
          <w:lang w:val="zh-CN"/>
        </w:rPr>
      </w:pPr>
      <w:r>
        <w:rPr>
          <w:rFonts w:hint="eastAsia" w:ascii="宋体" w:hAnsi="宋体" w:cs="宋体"/>
          <w:sz w:val="24"/>
          <w:szCs w:val="24"/>
          <w:lang w:val="zh-CN"/>
        </w:rPr>
        <w:t>3、我公司对本项目的技术培训安排：</w:t>
      </w:r>
    </w:p>
    <w:p w14:paraId="1536A440">
      <w:pPr>
        <w:spacing w:line="360" w:lineRule="auto"/>
        <w:rPr>
          <w:rFonts w:hint="eastAsia" w:ascii="宋体" w:hAnsi="宋体" w:cs="宋体"/>
          <w:sz w:val="24"/>
          <w:szCs w:val="24"/>
          <w:lang w:val="zh-CN"/>
        </w:rPr>
      </w:pPr>
      <w:r>
        <w:rPr>
          <w:rFonts w:hint="eastAsia" w:ascii="宋体" w:hAnsi="宋体" w:cs="宋体"/>
          <w:sz w:val="24"/>
          <w:szCs w:val="24"/>
          <w:lang w:val="zh-CN"/>
        </w:rPr>
        <w:t xml:space="preserve">4、我公司用于本项目的维修技术人员及设备情况、备品备件供应的保证措施及收费标准： </w:t>
      </w:r>
    </w:p>
    <w:p w14:paraId="6C47EA6A">
      <w:pPr>
        <w:spacing w:line="360" w:lineRule="auto"/>
        <w:rPr>
          <w:rFonts w:hint="eastAsia" w:ascii="宋体" w:hAnsi="宋体" w:cs="宋体"/>
          <w:sz w:val="24"/>
          <w:szCs w:val="24"/>
          <w:lang w:val="zh-CN"/>
        </w:rPr>
      </w:pPr>
      <w:r>
        <w:rPr>
          <w:rFonts w:hint="eastAsia" w:ascii="宋体" w:hAnsi="宋体" w:cs="宋体"/>
          <w:sz w:val="24"/>
          <w:szCs w:val="24"/>
          <w:lang w:val="zh-CN"/>
        </w:rPr>
        <w:t xml:space="preserve">5、制造厂商和我公司在本项目所在地（实施地）设置的售后服务网点明细表及相关情况： </w:t>
      </w:r>
    </w:p>
    <w:p w14:paraId="1DF8CE92">
      <w:pPr>
        <w:jc w:val="center"/>
        <w:rPr>
          <w:sz w:val="24"/>
          <w:szCs w:val="24"/>
          <w:lang w:val="zh-CN"/>
        </w:rPr>
      </w:pPr>
      <w:bookmarkStart w:id="30" w:name="_Toc359329882"/>
      <w:bookmarkStart w:id="31" w:name="_Toc237329053"/>
      <w:bookmarkStart w:id="32" w:name="_Toc359494614"/>
      <w:bookmarkStart w:id="33" w:name="_Toc238185768"/>
      <w:bookmarkStart w:id="34" w:name="_Toc237200210"/>
      <w:bookmarkStart w:id="35" w:name="_Toc237236998"/>
      <w:bookmarkStart w:id="36" w:name="_Toc278528000"/>
      <w:bookmarkStart w:id="37" w:name="_Toc237328731"/>
      <w:bookmarkStart w:id="38" w:name="_Toc359494410"/>
      <w:bookmarkStart w:id="39" w:name="_Toc237199967"/>
      <w:bookmarkStart w:id="40" w:name="_Toc237200086"/>
      <w:r>
        <w:rPr>
          <w:rFonts w:hint="eastAsia"/>
          <w:sz w:val="24"/>
          <w:szCs w:val="24"/>
          <w:lang w:val="zh-CN"/>
        </w:rPr>
        <w:t>制造厂商和我公司在本项目所在地（实施地）设立的售后服务机构一览表</w:t>
      </w:r>
      <w:bookmarkEnd w:id="30"/>
      <w:bookmarkEnd w:id="31"/>
      <w:bookmarkEnd w:id="32"/>
      <w:bookmarkEnd w:id="33"/>
      <w:bookmarkEnd w:id="34"/>
      <w:bookmarkEnd w:id="35"/>
      <w:bookmarkEnd w:id="36"/>
      <w:bookmarkEnd w:id="37"/>
      <w:bookmarkEnd w:id="38"/>
      <w:bookmarkEnd w:id="39"/>
      <w:bookmarkEnd w:id="40"/>
    </w:p>
    <w:tbl>
      <w:tblPr>
        <w:tblStyle w:val="21"/>
        <w:tblW w:w="0" w:type="auto"/>
        <w:jc w:val="center"/>
        <w:tblLayout w:type="fixed"/>
        <w:tblCellMar>
          <w:top w:w="0" w:type="dxa"/>
          <w:left w:w="108" w:type="dxa"/>
          <w:bottom w:w="0" w:type="dxa"/>
          <w:right w:w="108" w:type="dxa"/>
        </w:tblCellMar>
      </w:tblPr>
      <w:tblGrid>
        <w:gridCol w:w="688"/>
        <w:gridCol w:w="2341"/>
        <w:gridCol w:w="2707"/>
        <w:gridCol w:w="1054"/>
        <w:gridCol w:w="1348"/>
        <w:gridCol w:w="1528"/>
      </w:tblGrid>
      <w:tr w14:paraId="77E15FA2">
        <w:tblPrEx>
          <w:tblCellMar>
            <w:top w:w="0" w:type="dxa"/>
            <w:left w:w="108" w:type="dxa"/>
            <w:bottom w:w="0" w:type="dxa"/>
            <w:right w:w="108" w:type="dxa"/>
          </w:tblCellMar>
        </w:tblPrEx>
        <w:trPr>
          <w:trHeight w:val="539" w:hRule="atLeast"/>
          <w:jc w:val="center"/>
        </w:trPr>
        <w:tc>
          <w:tcPr>
            <w:tcW w:w="688" w:type="dxa"/>
            <w:tcBorders>
              <w:top w:val="single" w:color="auto" w:sz="6" w:space="0"/>
              <w:left w:val="single" w:color="auto" w:sz="6" w:space="0"/>
              <w:bottom w:val="single" w:color="auto" w:sz="6" w:space="0"/>
              <w:right w:val="single" w:color="auto" w:sz="6" w:space="0"/>
            </w:tcBorders>
            <w:vAlign w:val="center"/>
          </w:tcPr>
          <w:p w14:paraId="6D19820A">
            <w:pPr>
              <w:autoSpaceDE w:val="0"/>
              <w:autoSpaceDN w:val="0"/>
              <w:adjustRightInd w:val="0"/>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序号</w:t>
            </w:r>
          </w:p>
        </w:tc>
        <w:tc>
          <w:tcPr>
            <w:tcW w:w="2341" w:type="dxa"/>
            <w:tcBorders>
              <w:top w:val="single" w:color="auto" w:sz="6" w:space="0"/>
              <w:left w:val="single" w:color="auto" w:sz="6" w:space="0"/>
              <w:bottom w:val="single" w:color="auto" w:sz="6" w:space="0"/>
              <w:right w:val="single" w:color="auto" w:sz="6" w:space="0"/>
            </w:tcBorders>
            <w:vAlign w:val="center"/>
          </w:tcPr>
          <w:p w14:paraId="069EB305">
            <w:pPr>
              <w:autoSpaceDE w:val="0"/>
              <w:autoSpaceDN w:val="0"/>
              <w:adjustRightInd w:val="0"/>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售后服务机构名称</w:t>
            </w:r>
          </w:p>
        </w:tc>
        <w:tc>
          <w:tcPr>
            <w:tcW w:w="2707" w:type="dxa"/>
            <w:tcBorders>
              <w:top w:val="single" w:color="auto" w:sz="6" w:space="0"/>
              <w:left w:val="single" w:color="auto" w:sz="6" w:space="0"/>
              <w:bottom w:val="single" w:color="auto" w:sz="6" w:space="0"/>
              <w:right w:val="single" w:color="auto" w:sz="6" w:space="0"/>
            </w:tcBorders>
            <w:vAlign w:val="center"/>
          </w:tcPr>
          <w:p w14:paraId="11468430">
            <w:pPr>
              <w:autoSpaceDE w:val="0"/>
              <w:autoSpaceDN w:val="0"/>
              <w:adjustRightInd w:val="0"/>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所在市县及街区门牌号</w:t>
            </w:r>
          </w:p>
        </w:tc>
        <w:tc>
          <w:tcPr>
            <w:tcW w:w="1054" w:type="dxa"/>
            <w:tcBorders>
              <w:top w:val="single" w:color="auto" w:sz="6" w:space="0"/>
              <w:left w:val="single" w:color="auto" w:sz="6" w:space="0"/>
              <w:bottom w:val="single" w:color="auto" w:sz="6" w:space="0"/>
              <w:right w:val="single" w:color="auto" w:sz="6" w:space="0"/>
            </w:tcBorders>
            <w:vAlign w:val="center"/>
          </w:tcPr>
          <w:p w14:paraId="5949CFD8">
            <w:pPr>
              <w:autoSpaceDE w:val="0"/>
              <w:autoSpaceDN w:val="0"/>
              <w:adjustRightInd w:val="0"/>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联系人</w:t>
            </w:r>
          </w:p>
        </w:tc>
        <w:tc>
          <w:tcPr>
            <w:tcW w:w="1348" w:type="dxa"/>
            <w:tcBorders>
              <w:top w:val="single" w:color="auto" w:sz="6" w:space="0"/>
              <w:left w:val="single" w:color="auto" w:sz="6" w:space="0"/>
              <w:bottom w:val="single" w:color="auto" w:sz="6" w:space="0"/>
              <w:right w:val="single" w:color="auto" w:sz="6" w:space="0"/>
            </w:tcBorders>
            <w:vAlign w:val="center"/>
          </w:tcPr>
          <w:p w14:paraId="7FB78A53">
            <w:pPr>
              <w:autoSpaceDE w:val="0"/>
              <w:autoSpaceDN w:val="0"/>
              <w:adjustRightInd w:val="0"/>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移动电话</w:t>
            </w:r>
          </w:p>
        </w:tc>
        <w:tc>
          <w:tcPr>
            <w:tcW w:w="1528" w:type="dxa"/>
            <w:tcBorders>
              <w:top w:val="single" w:color="auto" w:sz="6" w:space="0"/>
              <w:left w:val="single" w:color="auto" w:sz="6" w:space="0"/>
              <w:bottom w:val="single" w:color="auto" w:sz="6" w:space="0"/>
              <w:right w:val="single" w:color="auto" w:sz="6" w:space="0"/>
            </w:tcBorders>
            <w:vAlign w:val="center"/>
          </w:tcPr>
          <w:p w14:paraId="3F4291D5">
            <w:pPr>
              <w:autoSpaceDE w:val="0"/>
              <w:autoSpaceDN w:val="0"/>
              <w:adjustRightInd w:val="0"/>
              <w:jc w:val="center"/>
              <w:rPr>
                <w:rFonts w:hint="eastAsia" w:ascii="宋体" w:hAnsi="宋体" w:cs="宋体"/>
                <w:bCs/>
                <w:color w:val="000000"/>
                <w:sz w:val="24"/>
                <w:szCs w:val="24"/>
                <w:lang w:val="zh-CN"/>
              </w:rPr>
            </w:pPr>
            <w:r>
              <w:rPr>
                <w:rFonts w:hint="eastAsia" w:ascii="宋体" w:hAnsi="宋体" w:cs="宋体"/>
                <w:bCs/>
                <w:color w:val="000000"/>
                <w:sz w:val="24"/>
                <w:szCs w:val="24"/>
                <w:lang w:val="zh-CN"/>
              </w:rPr>
              <w:t>固定电话</w:t>
            </w:r>
          </w:p>
        </w:tc>
      </w:tr>
      <w:tr w14:paraId="2F4AD4E2">
        <w:tblPrEx>
          <w:tblCellMar>
            <w:top w:w="0" w:type="dxa"/>
            <w:left w:w="108" w:type="dxa"/>
            <w:bottom w:w="0" w:type="dxa"/>
            <w:right w:w="108" w:type="dxa"/>
          </w:tblCellMar>
        </w:tblPrEx>
        <w:trPr>
          <w:trHeight w:val="539" w:hRule="atLeast"/>
          <w:jc w:val="center"/>
        </w:trPr>
        <w:tc>
          <w:tcPr>
            <w:tcW w:w="688" w:type="dxa"/>
            <w:tcBorders>
              <w:top w:val="single" w:color="auto" w:sz="6" w:space="0"/>
              <w:left w:val="single" w:color="auto" w:sz="6" w:space="0"/>
              <w:bottom w:val="single" w:color="auto" w:sz="6" w:space="0"/>
              <w:right w:val="single" w:color="auto" w:sz="6" w:space="0"/>
            </w:tcBorders>
            <w:vAlign w:val="center"/>
          </w:tcPr>
          <w:p w14:paraId="1C1EC017">
            <w:pPr>
              <w:autoSpaceDE w:val="0"/>
              <w:autoSpaceDN w:val="0"/>
              <w:adjustRightInd w:val="0"/>
              <w:jc w:val="center"/>
              <w:rPr>
                <w:rFonts w:hint="eastAsia" w:ascii="宋体" w:hAnsi="宋体" w:cs="宋体"/>
                <w:bCs/>
                <w:color w:val="000000"/>
                <w:sz w:val="24"/>
                <w:szCs w:val="24"/>
                <w:lang w:val="zh-CN"/>
              </w:rPr>
            </w:pPr>
          </w:p>
        </w:tc>
        <w:tc>
          <w:tcPr>
            <w:tcW w:w="2341" w:type="dxa"/>
            <w:tcBorders>
              <w:top w:val="single" w:color="auto" w:sz="6" w:space="0"/>
              <w:left w:val="single" w:color="auto" w:sz="6" w:space="0"/>
              <w:bottom w:val="single" w:color="auto" w:sz="6" w:space="0"/>
              <w:right w:val="single" w:color="auto" w:sz="6" w:space="0"/>
            </w:tcBorders>
            <w:vAlign w:val="center"/>
          </w:tcPr>
          <w:p w14:paraId="62BBFE1B">
            <w:pPr>
              <w:autoSpaceDE w:val="0"/>
              <w:autoSpaceDN w:val="0"/>
              <w:adjustRightInd w:val="0"/>
              <w:jc w:val="center"/>
              <w:rPr>
                <w:rFonts w:hint="eastAsia" w:ascii="宋体" w:hAnsi="宋体" w:cs="宋体"/>
                <w:bCs/>
                <w:color w:val="000000"/>
                <w:sz w:val="24"/>
                <w:szCs w:val="24"/>
                <w:lang w:val="zh-CN"/>
              </w:rPr>
            </w:pPr>
          </w:p>
        </w:tc>
        <w:tc>
          <w:tcPr>
            <w:tcW w:w="2707" w:type="dxa"/>
            <w:tcBorders>
              <w:top w:val="single" w:color="auto" w:sz="6" w:space="0"/>
              <w:left w:val="single" w:color="auto" w:sz="6" w:space="0"/>
              <w:bottom w:val="single" w:color="auto" w:sz="6" w:space="0"/>
              <w:right w:val="single" w:color="auto" w:sz="6" w:space="0"/>
            </w:tcBorders>
            <w:vAlign w:val="center"/>
          </w:tcPr>
          <w:p w14:paraId="61104426">
            <w:pPr>
              <w:autoSpaceDE w:val="0"/>
              <w:autoSpaceDN w:val="0"/>
              <w:adjustRightInd w:val="0"/>
              <w:jc w:val="center"/>
              <w:rPr>
                <w:rFonts w:hint="eastAsia" w:ascii="宋体" w:hAnsi="宋体" w:cs="宋体"/>
                <w:bCs/>
                <w:color w:val="000000"/>
                <w:sz w:val="24"/>
                <w:szCs w:val="24"/>
                <w:lang w:val="zh-CN"/>
              </w:rPr>
            </w:pPr>
          </w:p>
        </w:tc>
        <w:tc>
          <w:tcPr>
            <w:tcW w:w="1054" w:type="dxa"/>
            <w:tcBorders>
              <w:top w:val="single" w:color="auto" w:sz="6" w:space="0"/>
              <w:left w:val="single" w:color="auto" w:sz="6" w:space="0"/>
              <w:bottom w:val="single" w:color="auto" w:sz="6" w:space="0"/>
              <w:right w:val="single" w:color="auto" w:sz="6" w:space="0"/>
            </w:tcBorders>
            <w:vAlign w:val="center"/>
          </w:tcPr>
          <w:p w14:paraId="481346B0">
            <w:pPr>
              <w:autoSpaceDE w:val="0"/>
              <w:autoSpaceDN w:val="0"/>
              <w:adjustRightInd w:val="0"/>
              <w:jc w:val="center"/>
              <w:rPr>
                <w:rFonts w:hint="eastAsia" w:ascii="宋体" w:hAnsi="宋体" w:cs="宋体"/>
                <w:bCs/>
                <w:color w:val="000000"/>
                <w:sz w:val="24"/>
                <w:szCs w:val="24"/>
                <w:lang w:val="zh-CN"/>
              </w:rPr>
            </w:pPr>
          </w:p>
        </w:tc>
        <w:tc>
          <w:tcPr>
            <w:tcW w:w="1348" w:type="dxa"/>
            <w:tcBorders>
              <w:top w:val="single" w:color="auto" w:sz="6" w:space="0"/>
              <w:left w:val="single" w:color="auto" w:sz="6" w:space="0"/>
              <w:bottom w:val="single" w:color="auto" w:sz="6" w:space="0"/>
              <w:right w:val="single" w:color="auto" w:sz="6" w:space="0"/>
            </w:tcBorders>
            <w:vAlign w:val="center"/>
          </w:tcPr>
          <w:p w14:paraId="268BA275">
            <w:pPr>
              <w:autoSpaceDE w:val="0"/>
              <w:autoSpaceDN w:val="0"/>
              <w:adjustRightInd w:val="0"/>
              <w:jc w:val="center"/>
              <w:rPr>
                <w:rFonts w:hint="eastAsia" w:ascii="宋体" w:hAnsi="宋体" w:cs="宋体"/>
                <w:bCs/>
                <w:color w:val="000000"/>
                <w:sz w:val="24"/>
                <w:szCs w:val="24"/>
                <w:lang w:val="zh-CN"/>
              </w:rPr>
            </w:pPr>
          </w:p>
        </w:tc>
        <w:tc>
          <w:tcPr>
            <w:tcW w:w="1528" w:type="dxa"/>
            <w:tcBorders>
              <w:top w:val="single" w:color="auto" w:sz="6" w:space="0"/>
              <w:left w:val="single" w:color="auto" w:sz="6" w:space="0"/>
              <w:bottom w:val="single" w:color="auto" w:sz="6" w:space="0"/>
              <w:right w:val="single" w:color="auto" w:sz="6" w:space="0"/>
            </w:tcBorders>
            <w:vAlign w:val="center"/>
          </w:tcPr>
          <w:p w14:paraId="55E43825">
            <w:pPr>
              <w:autoSpaceDE w:val="0"/>
              <w:autoSpaceDN w:val="0"/>
              <w:adjustRightInd w:val="0"/>
              <w:jc w:val="center"/>
              <w:rPr>
                <w:rFonts w:hint="eastAsia" w:ascii="宋体" w:hAnsi="宋体" w:cs="宋体"/>
                <w:bCs/>
                <w:color w:val="000000"/>
                <w:sz w:val="24"/>
                <w:szCs w:val="24"/>
                <w:lang w:val="zh-CN"/>
              </w:rPr>
            </w:pPr>
          </w:p>
        </w:tc>
      </w:tr>
      <w:tr w14:paraId="5711034B">
        <w:tblPrEx>
          <w:tblCellMar>
            <w:top w:w="0" w:type="dxa"/>
            <w:left w:w="108" w:type="dxa"/>
            <w:bottom w:w="0" w:type="dxa"/>
            <w:right w:w="108" w:type="dxa"/>
          </w:tblCellMar>
        </w:tblPrEx>
        <w:trPr>
          <w:trHeight w:val="539" w:hRule="atLeast"/>
          <w:jc w:val="center"/>
        </w:trPr>
        <w:tc>
          <w:tcPr>
            <w:tcW w:w="688" w:type="dxa"/>
            <w:tcBorders>
              <w:top w:val="single" w:color="auto" w:sz="6" w:space="0"/>
              <w:left w:val="single" w:color="auto" w:sz="6" w:space="0"/>
              <w:bottom w:val="single" w:color="auto" w:sz="6" w:space="0"/>
              <w:right w:val="single" w:color="auto" w:sz="6" w:space="0"/>
            </w:tcBorders>
            <w:vAlign w:val="center"/>
          </w:tcPr>
          <w:p w14:paraId="64D5BC17">
            <w:pPr>
              <w:autoSpaceDE w:val="0"/>
              <w:autoSpaceDN w:val="0"/>
              <w:adjustRightInd w:val="0"/>
              <w:jc w:val="center"/>
              <w:rPr>
                <w:rFonts w:hint="eastAsia" w:ascii="宋体" w:hAnsi="宋体" w:cs="宋体"/>
                <w:bCs/>
                <w:color w:val="000000"/>
                <w:sz w:val="24"/>
                <w:szCs w:val="24"/>
                <w:lang w:val="zh-CN"/>
              </w:rPr>
            </w:pPr>
          </w:p>
        </w:tc>
        <w:tc>
          <w:tcPr>
            <w:tcW w:w="2341" w:type="dxa"/>
            <w:tcBorders>
              <w:top w:val="single" w:color="auto" w:sz="6" w:space="0"/>
              <w:left w:val="single" w:color="auto" w:sz="6" w:space="0"/>
              <w:bottom w:val="single" w:color="auto" w:sz="6" w:space="0"/>
              <w:right w:val="single" w:color="auto" w:sz="6" w:space="0"/>
            </w:tcBorders>
            <w:vAlign w:val="center"/>
          </w:tcPr>
          <w:p w14:paraId="769D9DF6">
            <w:pPr>
              <w:autoSpaceDE w:val="0"/>
              <w:autoSpaceDN w:val="0"/>
              <w:adjustRightInd w:val="0"/>
              <w:jc w:val="center"/>
              <w:rPr>
                <w:rFonts w:hint="eastAsia" w:ascii="宋体" w:hAnsi="宋体" w:cs="宋体"/>
                <w:bCs/>
                <w:color w:val="000000"/>
                <w:sz w:val="24"/>
                <w:szCs w:val="24"/>
                <w:lang w:val="zh-CN"/>
              </w:rPr>
            </w:pPr>
          </w:p>
        </w:tc>
        <w:tc>
          <w:tcPr>
            <w:tcW w:w="2707" w:type="dxa"/>
            <w:tcBorders>
              <w:top w:val="single" w:color="auto" w:sz="6" w:space="0"/>
              <w:left w:val="single" w:color="auto" w:sz="6" w:space="0"/>
              <w:bottom w:val="single" w:color="auto" w:sz="6" w:space="0"/>
              <w:right w:val="single" w:color="auto" w:sz="6" w:space="0"/>
            </w:tcBorders>
            <w:vAlign w:val="center"/>
          </w:tcPr>
          <w:p w14:paraId="17C1DDE1">
            <w:pPr>
              <w:autoSpaceDE w:val="0"/>
              <w:autoSpaceDN w:val="0"/>
              <w:adjustRightInd w:val="0"/>
              <w:jc w:val="center"/>
              <w:rPr>
                <w:rFonts w:hint="eastAsia" w:ascii="宋体" w:hAnsi="宋体" w:cs="宋体"/>
                <w:bCs/>
                <w:color w:val="000000"/>
                <w:sz w:val="24"/>
                <w:szCs w:val="24"/>
                <w:lang w:val="zh-CN"/>
              </w:rPr>
            </w:pPr>
          </w:p>
        </w:tc>
        <w:tc>
          <w:tcPr>
            <w:tcW w:w="1054" w:type="dxa"/>
            <w:tcBorders>
              <w:top w:val="single" w:color="auto" w:sz="6" w:space="0"/>
              <w:left w:val="single" w:color="auto" w:sz="6" w:space="0"/>
              <w:bottom w:val="single" w:color="auto" w:sz="6" w:space="0"/>
              <w:right w:val="single" w:color="auto" w:sz="6" w:space="0"/>
            </w:tcBorders>
            <w:vAlign w:val="center"/>
          </w:tcPr>
          <w:p w14:paraId="0369CFCB">
            <w:pPr>
              <w:autoSpaceDE w:val="0"/>
              <w:autoSpaceDN w:val="0"/>
              <w:adjustRightInd w:val="0"/>
              <w:jc w:val="center"/>
              <w:rPr>
                <w:rFonts w:hint="eastAsia" w:ascii="宋体" w:hAnsi="宋体" w:cs="宋体"/>
                <w:bCs/>
                <w:color w:val="000000"/>
                <w:sz w:val="24"/>
                <w:szCs w:val="24"/>
                <w:lang w:val="zh-CN"/>
              </w:rPr>
            </w:pPr>
          </w:p>
        </w:tc>
        <w:tc>
          <w:tcPr>
            <w:tcW w:w="1348" w:type="dxa"/>
            <w:tcBorders>
              <w:top w:val="single" w:color="auto" w:sz="6" w:space="0"/>
              <w:left w:val="single" w:color="auto" w:sz="6" w:space="0"/>
              <w:bottom w:val="single" w:color="auto" w:sz="6" w:space="0"/>
              <w:right w:val="single" w:color="auto" w:sz="6" w:space="0"/>
            </w:tcBorders>
            <w:vAlign w:val="center"/>
          </w:tcPr>
          <w:p w14:paraId="0D554410">
            <w:pPr>
              <w:autoSpaceDE w:val="0"/>
              <w:autoSpaceDN w:val="0"/>
              <w:adjustRightInd w:val="0"/>
              <w:jc w:val="center"/>
              <w:rPr>
                <w:rFonts w:hint="eastAsia" w:ascii="宋体" w:hAnsi="宋体" w:cs="宋体"/>
                <w:bCs/>
                <w:color w:val="000000"/>
                <w:sz w:val="24"/>
                <w:szCs w:val="24"/>
                <w:lang w:val="zh-CN"/>
              </w:rPr>
            </w:pPr>
          </w:p>
        </w:tc>
        <w:tc>
          <w:tcPr>
            <w:tcW w:w="1528" w:type="dxa"/>
            <w:tcBorders>
              <w:top w:val="single" w:color="auto" w:sz="6" w:space="0"/>
              <w:left w:val="single" w:color="auto" w:sz="6" w:space="0"/>
              <w:bottom w:val="single" w:color="auto" w:sz="6" w:space="0"/>
              <w:right w:val="single" w:color="auto" w:sz="6" w:space="0"/>
            </w:tcBorders>
            <w:vAlign w:val="center"/>
          </w:tcPr>
          <w:p w14:paraId="1B20DED3">
            <w:pPr>
              <w:autoSpaceDE w:val="0"/>
              <w:autoSpaceDN w:val="0"/>
              <w:adjustRightInd w:val="0"/>
              <w:jc w:val="center"/>
              <w:rPr>
                <w:rFonts w:hint="eastAsia" w:ascii="宋体" w:hAnsi="宋体" w:cs="宋体"/>
                <w:bCs/>
                <w:color w:val="000000"/>
                <w:sz w:val="24"/>
                <w:szCs w:val="24"/>
                <w:lang w:val="zh-CN"/>
              </w:rPr>
            </w:pPr>
          </w:p>
        </w:tc>
      </w:tr>
    </w:tbl>
    <w:p w14:paraId="42B82864">
      <w:pPr>
        <w:spacing w:line="360" w:lineRule="auto"/>
        <w:rPr>
          <w:rFonts w:hint="eastAsia" w:ascii="宋体" w:hAnsi="宋体" w:cs="宋体"/>
          <w:sz w:val="24"/>
          <w:szCs w:val="24"/>
          <w:lang w:val="zh-CN"/>
        </w:rPr>
      </w:pPr>
      <w:r>
        <w:rPr>
          <w:rFonts w:hint="eastAsia" w:ascii="宋体" w:hAnsi="宋体" w:cs="宋体"/>
          <w:sz w:val="24"/>
          <w:szCs w:val="24"/>
          <w:lang w:val="zh-CN"/>
        </w:rPr>
        <w:t>6、附件：制造厂商和我公司的售后服务体系情况及现行规定文件。</w:t>
      </w:r>
    </w:p>
    <w:p w14:paraId="2DF25D7F">
      <w:pPr>
        <w:autoSpaceDE w:val="0"/>
        <w:autoSpaceDN w:val="0"/>
        <w:adjustRightInd w:val="0"/>
        <w:rPr>
          <w:rFonts w:hint="eastAsia" w:ascii="宋体" w:hAnsi="宋体" w:cs="宋体"/>
          <w:bCs/>
          <w:color w:val="000000"/>
          <w:sz w:val="24"/>
          <w:szCs w:val="24"/>
          <w:lang w:val="zh-CN"/>
        </w:rPr>
      </w:pPr>
    </w:p>
    <w:p w14:paraId="45F98A75">
      <w:pPr>
        <w:pStyle w:val="7"/>
        <w:rPr>
          <w:rFonts w:hint="eastAsia" w:ascii="宋体" w:hAnsi="宋体" w:cs="宋体"/>
          <w:bCs/>
          <w:color w:val="000000"/>
          <w:sz w:val="24"/>
          <w:szCs w:val="24"/>
          <w:lang w:val="zh-CN"/>
        </w:rPr>
      </w:pPr>
    </w:p>
    <w:p w14:paraId="1141829F">
      <w:pPr>
        <w:rPr>
          <w:rFonts w:hint="eastAsia" w:ascii="宋体" w:hAnsi="宋体" w:cs="宋体"/>
          <w:bCs/>
          <w:color w:val="000000"/>
          <w:sz w:val="24"/>
          <w:szCs w:val="24"/>
          <w:lang w:val="zh-CN"/>
        </w:rPr>
      </w:pPr>
    </w:p>
    <w:p w14:paraId="193CD89E">
      <w:pPr>
        <w:pStyle w:val="7"/>
        <w:rPr>
          <w:rFonts w:hint="eastAsia" w:ascii="宋体" w:hAnsi="宋体" w:cs="宋体"/>
          <w:bCs/>
          <w:color w:val="000000"/>
          <w:sz w:val="24"/>
          <w:szCs w:val="24"/>
          <w:lang w:val="zh-CN"/>
        </w:rPr>
      </w:pPr>
    </w:p>
    <w:p w14:paraId="4E4EEA7B">
      <w:pPr>
        <w:rPr>
          <w:rFonts w:hint="eastAsia" w:ascii="宋体" w:hAnsi="宋体" w:cs="宋体"/>
          <w:bCs/>
          <w:color w:val="000000"/>
          <w:sz w:val="24"/>
          <w:szCs w:val="24"/>
          <w:lang w:val="zh-CN"/>
        </w:rPr>
      </w:pPr>
    </w:p>
    <w:p w14:paraId="44865CA8">
      <w:pPr>
        <w:pStyle w:val="7"/>
        <w:rPr>
          <w:rFonts w:hint="eastAsia" w:ascii="宋体" w:hAnsi="宋体" w:cs="宋体"/>
          <w:bCs/>
          <w:color w:val="000000"/>
          <w:sz w:val="24"/>
          <w:szCs w:val="24"/>
          <w:lang w:val="zh-CN"/>
        </w:rPr>
      </w:pPr>
      <w:r>
        <w:rPr>
          <w:rFonts w:hint="eastAsia" w:ascii="宋体" w:hAnsi="宋体" w:cs="宋体"/>
          <w:spacing w:val="-6"/>
          <w:sz w:val="24"/>
          <w:szCs w:val="24"/>
        </w:rPr>
        <w:t>投标人</w:t>
      </w:r>
      <w:r>
        <w:rPr>
          <w:rFonts w:hint="eastAsia" w:ascii="宋体" w:hAnsi="宋体" w:cs="宋体"/>
          <w:spacing w:val="-5"/>
          <w:sz w:val="24"/>
          <w:szCs w:val="24"/>
        </w:rPr>
        <w:t>名</w:t>
      </w:r>
      <w:r>
        <w:rPr>
          <w:rFonts w:hint="eastAsia" w:ascii="宋体" w:hAnsi="宋体" w:cs="宋体"/>
          <w:spacing w:val="-3"/>
          <w:sz w:val="24"/>
          <w:szCs w:val="24"/>
        </w:rPr>
        <w:t>称(加盖公章)：</w:t>
      </w:r>
      <w:r>
        <w:rPr>
          <w:rFonts w:ascii="宋体" w:hAnsi="宋体" w:cs="宋体"/>
          <w:bCs/>
          <w:color w:val="000000"/>
          <w:sz w:val="24"/>
          <w:szCs w:val="24"/>
          <w:lang w:val="zh-CN"/>
        </w:rPr>
        <w:t xml:space="preserve">     </w:t>
      </w:r>
      <w:r>
        <w:rPr>
          <w:rFonts w:hint="eastAsia" w:ascii="宋体" w:hAnsi="宋体" w:cs="宋体"/>
          <w:bCs/>
          <w:color w:val="000000"/>
          <w:sz w:val="24"/>
          <w:szCs w:val="24"/>
          <w:lang w:val="zh-CN"/>
        </w:rPr>
        <w:t xml:space="preserve">              </w:t>
      </w:r>
    </w:p>
    <w:p w14:paraId="719D690D">
      <w:pPr>
        <w:pStyle w:val="7"/>
        <w:rPr>
          <w:rFonts w:hint="eastAsia" w:ascii="宋体" w:hAnsi="宋体" w:cs="宋体"/>
          <w:bCs/>
          <w:color w:val="000000"/>
          <w:sz w:val="24"/>
          <w:szCs w:val="24"/>
          <w:lang w:val="zh-CN"/>
        </w:rPr>
      </w:pPr>
      <w:r>
        <w:rPr>
          <w:rFonts w:ascii="宋体" w:hAnsi="宋体" w:cs="宋体"/>
          <w:bCs/>
          <w:color w:val="000000"/>
          <w:sz w:val="24"/>
          <w:szCs w:val="24"/>
          <w:lang w:val="zh-CN"/>
        </w:rPr>
        <w:t>法定代表人（签字）：</w:t>
      </w:r>
      <w:r>
        <w:rPr>
          <w:rFonts w:hint="eastAsia" w:ascii="宋体" w:hAnsi="宋体" w:cs="宋体"/>
          <w:bCs/>
          <w:color w:val="000000"/>
          <w:sz w:val="24"/>
          <w:szCs w:val="24"/>
          <w:lang w:val="zh-CN"/>
        </w:rPr>
        <w:t xml:space="preserve">                   </w:t>
      </w:r>
    </w:p>
    <w:p w14:paraId="3ED417A0">
      <w:pPr>
        <w:pStyle w:val="7"/>
        <w:rPr>
          <w:rFonts w:hint="eastAsia" w:ascii="宋体" w:hAnsi="宋体" w:cs="宋体"/>
          <w:bCs/>
          <w:color w:val="000000"/>
          <w:sz w:val="24"/>
          <w:szCs w:val="24"/>
          <w:lang w:val="zh-CN"/>
        </w:rPr>
      </w:pPr>
      <w:r>
        <w:rPr>
          <w:rFonts w:hint="eastAsia" w:ascii="宋体" w:hAnsi="宋体" w:cs="宋体"/>
          <w:bCs/>
          <w:color w:val="000000"/>
          <w:sz w:val="24"/>
          <w:szCs w:val="24"/>
          <w:lang w:val="zh-CN"/>
        </w:rPr>
        <w:t>授权代理人</w:t>
      </w:r>
      <w:r>
        <w:rPr>
          <w:rFonts w:ascii="宋体" w:hAnsi="宋体" w:cs="宋体"/>
          <w:bCs/>
          <w:color w:val="000000"/>
          <w:sz w:val="24"/>
          <w:szCs w:val="24"/>
          <w:lang w:val="zh-CN"/>
        </w:rPr>
        <w:t>（签字）：</w:t>
      </w:r>
      <w:r>
        <w:rPr>
          <w:rFonts w:hint="eastAsia" w:ascii="宋体" w:hAnsi="宋体" w:cs="宋体"/>
          <w:bCs/>
          <w:color w:val="000000"/>
          <w:sz w:val="24"/>
          <w:szCs w:val="24"/>
          <w:lang w:val="zh-CN"/>
        </w:rPr>
        <w:t xml:space="preserve">                  </w:t>
      </w:r>
    </w:p>
    <w:p w14:paraId="699B315C">
      <w:pPr>
        <w:pStyle w:val="7"/>
        <w:rPr>
          <w:rFonts w:hint="eastAsia" w:ascii="宋体" w:hAnsi="宋体" w:cs="宋体"/>
          <w:bCs/>
          <w:color w:val="000000"/>
          <w:szCs w:val="21"/>
          <w:lang w:val="zh-CN"/>
        </w:rPr>
      </w:pPr>
      <w:r>
        <w:rPr>
          <w:rFonts w:ascii="宋体" w:hAnsi="宋体" w:cs="宋体"/>
          <w:bCs/>
          <w:color w:val="000000"/>
          <w:sz w:val="24"/>
          <w:szCs w:val="24"/>
          <w:lang w:val="zh-CN"/>
        </w:rPr>
        <w:t xml:space="preserve">日 </w:t>
      </w:r>
      <w:r>
        <w:rPr>
          <w:rFonts w:hint="eastAsia" w:ascii="宋体" w:hAnsi="宋体" w:cs="宋体"/>
          <w:bCs/>
          <w:color w:val="000000"/>
          <w:sz w:val="24"/>
          <w:szCs w:val="24"/>
          <w:lang w:val="zh-CN"/>
        </w:rPr>
        <w:t xml:space="preserve">     </w:t>
      </w:r>
      <w:r>
        <w:rPr>
          <w:rFonts w:ascii="宋体" w:hAnsi="宋体" w:cs="宋体"/>
          <w:bCs/>
          <w:color w:val="000000"/>
          <w:sz w:val="24"/>
          <w:szCs w:val="24"/>
          <w:lang w:val="zh-CN"/>
        </w:rPr>
        <w:t>期：</w:t>
      </w:r>
      <w:r>
        <w:rPr>
          <w:rFonts w:hint="eastAsia" w:ascii="宋体" w:hAnsi="宋体" w:cs="宋体"/>
          <w:bCs/>
          <w:color w:val="000000"/>
          <w:sz w:val="24"/>
          <w:szCs w:val="24"/>
          <w:lang w:val="zh-CN"/>
        </w:rPr>
        <w:t xml:space="preserve">             </w:t>
      </w:r>
      <w:r>
        <w:rPr>
          <w:rFonts w:hint="eastAsia" w:ascii="宋体" w:hAnsi="宋体" w:cs="宋体"/>
          <w:bCs/>
          <w:color w:val="000000"/>
          <w:szCs w:val="21"/>
          <w:lang w:val="zh-CN"/>
        </w:rPr>
        <w:t xml:space="preserve">               </w:t>
      </w:r>
    </w:p>
    <w:p w14:paraId="01C18745">
      <w:pPr>
        <w:rPr>
          <w:rFonts w:hint="eastAsia" w:ascii="宋体" w:hAnsi="宋体" w:cs="宋体"/>
          <w:bCs/>
          <w:color w:val="000000"/>
          <w:szCs w:val="21"/>
          <w:lang w:val="zh-CN"/>
        </w:rPr>
      </w:pPr>
    </w:p>
    <w:p w14:paraId="786F044E">
      <w:pPr>
        <w:pStyle w:val="7"/>
        <w:rPr>
          <w:rFonts w:hint="eastAsia" w:ascii="宋体" w:hAnsi="宋体" w:cs="宋体"/>
          <w:bCs/>
          <w:color w:val="000000"/>
          <w:szCs w:val="21"/>
          <w:lang w:val="zh-CN"/>
        </w:rPr>
      </w:pPr>
    </w:p>
    <w:p w14:paraId="560524EA">
      <w:pPr>
        <w:rPr>
          <w:rFonts w:hint="eastAsia" w:ascii="宋体" w:hAnsi="宋体" w:cs="宋体"/>
          <w:bCs/>
          <w:color w:val="000000"/>
          <w:szCs w:val="21"/>
          <w:lang w:val="zh-CN"/>
        </w:rPr>
      </w:pPr>
    </w:p>
    <w:p w14:paraId="1E660A3D">
      <w:pPr>
        <w:pStyle w:val="7"/>
        <w:rPr>
          <w:rFonts w:hint="eastAsia" w:ascii="宋体" w:hAnsi="宋体" w:cs="宋体"/>
          <w:bCs/>
          <w:color w:val="000000"/>
          <w:szCs w:val="21"/>
          <w:lang w:val="zh-CN"/>
        </w:rPr>
      </w:pPr>
    </w:p>
    <w:p w14:paraId="4BA388D9">
      <w:pPr>
        <w:rPr>
          <w:rFonts w:hint="eastAsia" w:ascii="宋体" w:hAnsi="宋体" w:cs="宋体"/>
          <w:bCs/>
          <w:color w:val="000000"/>
          <w:szCs w:val="21"/>
          <w:lang w:val="zh-CN"/>
        </w:rPr>
      </w:pPr>
    </w:p>
    <w:p w14:paraId="5BC5B9A2">
      <w:pPr>
        <w:pStyle w:val="7"/>
        <w:rPr>
          <w:rFonts w:hint="eastAsia" w:ascii="宋体" w:hAnsi="宋体" w:cs="宋体"/>
          <w:bCs/>
          <w:color w:val="000000"/>
          <w:szCs w:val="21"/>
          <w:lang w:val="zh-CN"/>
        </w:rPr>
      </w:pPr>
    </w:p>
    <w:p w14:paraId="4B6F5CA9">
      <w:pPr>
        <w:rPr>
          <w:rFonts w:hint="eastAsia" w:ascii="宋体" w:hAnsi="宋体" w:cs="宋体"/>
          <w:bCs/>
          <w:color w:val="000000"/>
          <w:szCs w:val="21"/>
          <w:lang w:val="zh-CN"/>
        </w:rPr>
      </w:pPr>
    </w:p>
    <w:p w14:paraId="0A428CF3">
      <w:pPr>
        <w:spacing w:after="240"/>
        <w:ind w:hanging="119"/>
        <w:jc w:val="center"/>
        <w:rPr>
          <w:rFonts w:hint="eastAsia" w:ascii="宋体" w:hAnsi="宋体" w:cs="宋体"/>
          <w:b/>
          <w:color w:val="000000"/>
          <w:sz w:val="28"/>
          <w:szCs w:val="28"/>
        </w:rPr>
      </w:pPr>
      <w:bookmarkStart w:id="41" w:name="_Toc232950474"/>
      <w:r>
        <w:rPr>
          <w:rFonts w:hint="eastAsia" w:ascii="宋体" w:hAnsi="宋体" w:cs="宋体"/>
          <w:b/>
          <w:color w:val="000000"/>
          <w:sz w:val="28"/>
          <w:szCs w:val="28"/>
        </w:rPr>
        <w:t>五、</w:t>
      </w:r>
      <w:bookmarkEnd w:id="41"/>
      <w:r>
        <w:rPr>
          <w:rFonts w:hint="eastAsia" w:ascii="宋体" w:hAnsi="宋体" w:cs="宋体"/>
          <w:b/>
          <w:sz w:val="28"/>
          <w:szCs w:val="28"/>
        </w:rPr>
        <w:t>采购需求偏离表</w:t>
      </w:r>
    </w:p>
    <w:p w14:paraId="3625F9AE">
      <w:pPr>
        <w:autoSpaceDE w:val="0"/>
        <w:autoSpaceDN w:val="0"/>
        <w:adjustRightInd w:val="0"/>
        <w:ind w:firstLine="360" w:firstLineChars="150"/>
        <w:rPr>
          <w:rFonts w:hint="eastAsia" w:ascii="宋体" w:hAnsi="宋体" w:cs="宋体"/>
          <w:bCs/>
          <w:color w:val="000000"/>
          <w:sz w:val="24"/>
          <w:szCs w:val="24"/>
          <w:lang w:val="zh-CN"/>
        </w:rPr>
      </w:pPr>
      <w:r>
        <w:rPr>
          <w:rFonts w:hint="eastAsia" w:ascii="宋体" w:hAnsi="宋体" w:cs="宋体"/>
          <w:bCs/>
          <w:color w:val="000000"/>
          <w:sz w:val="24"/>
          <w:szCs w:val="24"/>
          <w:lang w:val="zh-CN"/>
        </w:rPr>
        <w:t xml:space="preserve">项目名称：                            </w:t>
      </w:r>
    </w:p>
    <w:p w14:paraId="69E852EA">
      <w:pPr>
        <w:autoSpaceDE w:val="0"/>
        <w:autoSpaceDN w:val="0"/>
        <w:adjustRightInd w:val="0"/>
        <w:ind w:firstLine="360" w:firstLineChars="150"/>
        <w:rPr>
          <w:rFonts w:hint="eastAsia" w:ascii="宋体" w:hAnsi="宋体" w:cs="宋体"/>
          <w:bCs/>
          <w:color w:val="000000"/>
          <w:sz w:val="24"/>
          <w:szCs w:val="24"/>
          <w:lang w:val="zh-CN"/>
        </w:rPr>
      </w:pPr>
      <w:r>
        <w:rPr>
          <w:rFonts w:hint="eastAsia" w:ascii="宋体" w:hAnsi="宋体" w:cs="宋体"/>
          <w:bCs/>
          <w:color w:val="000000"/>
          <w:sz w:val="24"/>
          <w:szCs w:val="24"/>
          <w:lang w:val="zh-CN"/>
        </w:rPr>
        <w:t>项目编号：</w:t>
      </w:r>
    </w:p>
    <w:tbl>
      <w:tblPr>
        <w:tblStyle w:val="21"/>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84"/>
        <w:gridCol w:w="2896"/>
        <w:gridCol w:w="2962"/>
        <w:gridCol w:w="1606"/>
        <w:gridCol w:w="1606"/>
      </w:tblGrid>
      <w:tr w14:paraId="5E1D60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444" w:type="pct"/>
          </w:tcPr>
          <w:p w14:paraId="10C1B886">
            <w:pPr>
              <w:spacing w:before="240" w:after="240"/>
              <w:jc w:val="center"/>
              <w:rPr>
                <w:rFonts w:hint="eastAsia" w:ascii="宋体" w:hAnsi="宋体" w:cs="宋体"/>
                <w:sz w:val="24"/>
                <w:szCs w:val="24"/>
              </w:rPr>
            </w:pPr>
            <w:r>
              <w:rPr>
                <w:rFonts w:hint="eastAsia" w:ascii="宋体" w:hAnsi="宋体" w:cs="宋体"/>
                <w:sz w:val="24"/>
                <w:szCs w:val="24"/>
              </w:rPr>
              <w:t>序号</w:t>
            </w:r>
          </w:p>
        </w:tc>
        <w:tc>
          <w:tcPr>
            <w:tcW w:w="1454" w:type="pct"/>
          </w:tcPr>
          <w:p w14:paraId="72D0942A">
            <w:pPr>
              <w:spacing w:before="240" w:after="240"/>
              <w:jc w:val="center"/>
              <w:rPr>
                <w:rFonts w:hint="eastAsia" w:ascii="宋体" w:hAnsi="宋体" w:cs="宋体"/>
                <w:sz w:val="24"/>
                <w:szCs w:val="24"/>
              </w:rPr>
            </w:pPr>
            <w:r>
              <w:rPr>
                <w:rFonts w:hint="eastAsia" w:ascii="宋体" w:hAnsi="宋体" w:cs="宋体"/>
                <w:sz w:val="24"/>
                <w:szCs w:val="24"/>
              </w:rPr>
              <w:t>招标文件商务、技术要求</w:t>
            </w:r>
          </w:p>
        </w:tc>
        <w:tc>
          <w:tcPr>
            <w:tcW w:w="1487" w:type="pct"/>
          </w:tcPr>
          <w:p w14:paraId="46D104E5">
            <w:pPr>
              <w:spacing w:before="240" w:after="240"/>
              <w:jc w:val="center"/>
              <w:rPr>
                <w:rFonts w:hint="eastAsia" w:ascii="宋体" w:hAnsi="宋体" w:cs="宋体"/>
                <w:sz w:val="24"/>
                <w:szCs w:val="24"/>
              </w:rPr>
            </w:pPr>
            <w:r>
              <w:rPr>
                <w:rFonts w:hint="eastAsia" w:ascii="宋体" w:hAnsi="宋体" w:cs="宋体"/>
                <w:sz w:val="24"/>
                <w:szCs w:val="24"/>
              </w:rPr>
              <w:t>投标文件情况</w:t>
            </w:r>
          </w:p>
        </w:tc>
        <w:tc>
          <w:tcPr>
            <w:tcW w:w="806" w:type="pct"/>
          </w:tcPr>
          <w:p w14:paraId="5BB5A5EC">
            <w:pPr>
              <w:spacing w:before="240" w:after="240"/>
              <w:jc w:val="center"/>
              <w:rPr>
                <w:rFonts w:hint="eastAsia" w:ascii="宋体" w:hAnsi="宋体" w:cs="宋体"/>
                <w:sz w:val="24"/>
                <w:szCs w:val="24"/>
              </w:rPr>
            </w:pPr>
            <w:r>
              <w:rPr>
                <w:rFonts w:hint="eastAsia" w:ascii="宋体" w:hAnsi="宋体" w:cs="宋体"/>
                <w:sz w:val="24"/>
                <w:szCs w:val="24"/>
                <w:lang w:val="zh-CN"/>
              </w:rPr>
              <w:t>偏离情况</w:t>
            </w:r>
          </w:p>
        </w:tc>
        <w:tc>
          <w:tcPr>
            <w:tcW w:w="806" w:type="pct"/>
          </w:tcPr>
          <w:p w14:paraId="62AB3BAE">
            <w:pPr>
              <w:spacing w:before="240" w:after="240"/>
              <w:jc w:val="center"/>
              <w:rPr>
                <w:rFonts w:hint="eastAsia" w:ascii="宋体" w:hAnsi="宋体" w:cs="宋体"/>
                <w:sz w:val="24"/>
                <w:szCs w:val="24"/>
                <w:lang w:val="zh-CN"/>
              </w:rPr>
            </w:pPr>
            <w:r>
              <w:rPr>
                <w:rFonts w:hint="eastAsia" w:ascii="宋体" w:hAnsi="宋体" w:cs="宋体"/>
                <w:sz w:val="24"/>
                <w:szCs w:val="24"/>
                <w:lang w:val="zh-CN"/>
              </w:rPr>
              <w:t>说明</w:t>
            </w:r>
          </w:p>
        </w:tc>
      </w:tr>
      <w:tr w14:paraId="5C9D1D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444" w:type="pct"/>
          </w:tcPr>
          <w:p w14:paraId="27FC696A">
            <w:pPr>
              <w:spacing w:before="240" w:after="240"/>
              <w:rPr>
                <w:rFonts w:hint="eastAsia" w:ascii="宋体" w:hAnsi="宋体" w:cs="宋体"/>
                <w:sz w:val="24"/>
                <w:szCs w:val="24"/>
              </w:rPr>
            </w:pPr>
          </w:p>
        </w:tc>
        <w:tc>
          <w:tcPr>
            <w:tcW w:w="1454" w:type="pct"/>
          </w:tcPr>
          <w:p w14:paraId="1964C22E">
            <w:pPr>
              <w:spacing w:before="240" w:after="240"/>
              <w:rPr>
                <w:rFonts w:hint="eastAsia" w:ascii="宋体" w:hAnsi="宋体" w:cs="宋体"/>
                <w:sz w:val="24"/>
                <w:szCs w:val="24"/>
              </w:rPr>
            </w:pPr>
          </w:p>
        </w:tc>
        <w:tc>
          <w:tcPr>
            <w:tcW w:w="1487" w:type="pct"/>
          </w:tcPr>
          <w:p w14:paraId="497A1ACE">
            <w:pPr>
              <w:spacing w:before="240" w:after="240"/>
              <w:rPr>
                <w:rFonts w:hint="eastAsia" w:ascii="宋体" w:hAnsi="宋体" w:cs="宋体"/>
                <w:sz w:val="24"/>
                <w:szCs w:val="24"/>
              </w:rPr>
            </w:pPr>
          </w:p>
        </w:tc>
        <w:tc>
          <w:tcPr>
            <w:tcW w:w="806" w:type="pct"/>
          </w:tcPr>
          <w:p w14:paraId="6C631E3C">
            <w:pPr>
              <w:spacing w:before="240" w:after="240"/>
              <w:rPr>
                <w:rFonts w:hint="eastAsia" w:ascii="宋体" w:hAnsi="宋体" w:cs="宋体"/>
                <w:sz w:val="24"/>
                <w:szCs w:val="24"/>
              </w:rPr>
            </w:pPr>
          </w:p>
        </w:tc>
        <w:tc>
          <w:tcPr>
            <w:tcW w:w="806" w:type="pct"/>
          </w:tcPr>
          <w:p w14:paraId="318BD5FD">
            <w:pPr>
              <w:spacing w:before="240" w:after="240"/>
              <w:rPr>
                <w:rFonts w:hint="eastAsia" w:ascii="宋体" w:hAnsi="宋体" w:cs="宋体"/>
                <w:sz w:val="24"/>
                <w:szCs w:val="24"/>
              </w:rPr>
            </w:pPr>
          </w:p>
        </w:tc>
      </w:tr>
      <w:tr w14:paraId="41529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44" w:type="pct"/>
          </w:tcPr>
          <w:p w14:paraId="128F3753">
            <w:pPr>
              <w:spacing w:before="240" w:after="240"/>
              <w:rPr>
                <w:rFonts w:hint="eastAsia" w:ascii="宋体" w:hAnsi="宋体" w:cs="宋体"/>
                <w:sz w:val="24"/>
                <w:szCs w:val="24"/>
              </w:rPr>
            </w:pPr>
          </w:p>
        </w:tc>
        <w:tc>
          <w:tcPr>
            <w:tcW w:w="1454" w:type="pct"/>
          </w:tcPr>
          <w:p w14:paraId="1B4A19AF">
            <w:pPr>
              <w:spacing w:before="240" w:after="240"/>
              <w:rPr>
                <w:rFonts w:hint="eastAsia" w:ascii="宋体" w:hAnsi="宋体" w:cs="宋体"/>
                <w:sz w:val="24"/>
                <w:szCs w:val="24"/>
              </w:rPr>
            </w:pPr>
          </w:p>
        </w:tc>
        <w:tc>
          <w:tcPr>
            <w:tcW w:w="1487" w:type="pct"/>
          </w:tcPr>
          <w:p w14:paraId="04C820B3">
            <w:pPr>
              <w:spacing w:before="240" w:after="240"/>
              <w:rPr>
                <w:rFonts w:hint="eastAsia" w:ascii="宋体" w:hAnsi="宋体" w:cs="宋体"/>
                <w:sz w:val="24"/>
                <w:szCs w:val="24"/>
              </w:rPr>
            </w:pPr>
          </w:p>
        </w:tc>
        <w:tc>
          <w:tcPr>
            <w:tcW w:w="806" w:type="pct"/>
          </w:tcPr>
          <w:p w14:paraId="0C9B2981">
            <w:pPr>
              <w:spacing w:before="240" w:after="240"/>
              <w:rPr>
                <w:rFonts w:hint="eastAsia" w:ascii="宋体" w:hAnsi="宋体" w:cs="宋体"/>
                <w:sz w:val="24"/>
                <w:szCs w:val="24"/>
              </w:rPr>
            </w:pPr>
          </w:p>
        </w:tc>
        <w:tc>
          <w:tcPr>
            <w:tcW w:w="806" w:type="pct"/>
          </w:tcPr>
          <w:p w14:paraId="3793EF5D">
            <w:pPr>
              <w:spacing w:before="240" w:after="240"/>
              <w:rPr>
                <w:rFonts w:hint="eastAsia" w:ascii="宋体" w:hAnsi="宋体" w:cs="宋体"/>
                <w:sz w:val="24"/>
                <w:szCs w:val="24"/>
              </w:rPr>
            </w:pPr>
          </w:p>
        </w:tc>
      </w:tr>
      <w:tr w14:paraId="1477B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444" w:type="pct"/>
          </w:tcPr>
          <w:p w14:paraId="17894C3C">
            <w:pPr>
              <w:spacing w:before="240" w:after="240"/>
              <w:rPr>
                <w:rFonts w:hint="eastAsia" w:ascii="宋体" w:hAnsi="宋体" w:cs="宋体"/>
                <w:sz w:val="24"/>
                <w:szCs w:val="24"/>
              </w:rPr>
            </w:pPr>
          </w:p>
        </w:tc>
        <w:tc>
          <w:tcPr>
            <w:tcW w:w="1454" w:type="pct"/>
          </w:tcPr>
          <w:p w14:paraId="093E4BC7">
            <w:pPr>
              <w:spacing w:before="240" w:after="240"/>
              <w:rPr>
                <w:rFonts w:hint="eastAsia" w:ascii="宋体" w:hAnsi="宋体" w:cs="宋体"/>
                <w:sz w:val="24"/>
                <w:szCs w:val="24"/>
              </w:rPr>
            </w:pPr>
          </w:p>
        </w:tc>
        <w:tc>
          <w:tcPr>
            <w:tcW w:w="1487" w:type="pct"/>
          </w:tcPr>
          <w:p w14:paraId="35EDCAB0">
            <w:pPr>
              <w:spacing w:before="240" w:after="240"/>
              <w:rPr>
                <w:rFonts w:hint="eastAsia" w:ascii="宋体" w:hAnsi="宋体" w:cs="宋体"/>
                <w:sz w:val="24"/>
                <w:szCs w:val="24"/>
              </w:rPr>
            </w:pPr>
          </w:p>
        </w:tc>
        <w:tc>
          <w:tcPr>
            <w:tcW w:w="806" w:type="pct"/>
          </w:tcPr>
          <w:p w14:paraId="7E85A105">
            <w:pPr>
              <w:spacing w:before="240" w:after="240"/>
              <w:rPr>
                <w:rFonts w:hint="eastAsia" w:ascii="宋体" w:hAnsi="宋体" w:cs="宋体"/>
                <w:sz w:val="24"/>
                <w:szCs w:val="24"/>
              </w:rPr>
            </w:pPr>
          </w:p>
        </w:tc>
        <w:tc>
          <w:tcPr>
            <w:tcW w:w="806" w:type="pct"/>
          </w:tcPr>
          <w:p w14:paraId="677F29E9">
            <w:pPr>
              <w:spacing w:before="240" w:after="240"/>
              <w:rPr>
                <w:rFonts w:hint="eastAsia" w:ascii="宋体" w:hAnsi="宋体" w:cs="宋体"/>
                <w:sz w:val="24"/>
                <w:szCs w:val="24"/>
              </w:rPr>
            </w:pPr>
          </w:p>
        </w:tc>
      </w:tr>
      <w:tr w14:paraId="27CF4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44" w:type="pct"/>
          </w:tcPr>
          <w:p w14:paraId="505FACAE">
            <w:pPr>
              <w:spacing w:before="240" w:after="240"/>
              <w:rPr>
                <w:rFonts w:hint="eastAsia" w:ascii="宋体" w:hAnsi="宋体" w:cs="宋体"/>
                <w:sz w:val="24"/>
                <w:szCs w:val="24"/>
              </w:rPr>
            </w:pPr>
          </w:p>
        </w:tc>
        <w:tc>
          <w:tcPr>
            <w:tcW w:w="1454" w:type="pct"/>
          </w:tcPr>
          <w:p w14:paraId="017070FF">
            <w:pPr>
              <w:spacing w:before="240" w:after="240"/>
              <w:rPr>
                <w:rFonts w:hint="eastAsia" w:ascii="宋体" w:hAnsi="宋体" w:cs="宋体"/>
                <w:sz w:val="24"/>
                <w:szCs w:val="24"/>
              </w:rPr>
            </w:pPr>
          </w:p>
        </w:tc>
        <w:tc>
          <w:tcPr>
            <w:tcW w:w="1487" w:type="pct"/>
          </w:tcPr>
          <w:p w14:paraId="51AB9BAF">
            <w:pPr>
              <w:spacing w:before="240" w:after="240"/>
              <w:rPr>
                <w:rFonts w:hint="eastAsia" w:ascii="宋体" w:hAnsi="宋体" w:cs="宋体"/>
                <w:sz w:val="24"/>
                <w:szCs w:val="24"/>
              </w:rPr>
            </w:pPr>
          </w:p>
        </w:tc>
        <w:tc>
          <w:tcPr>
            <w:tcW w:w="806" w:type="pct"/>
          </w:tcPr>
          <w:p w14:paraId="3F80797E">
            <w:pPr>
              <w:spacing w:before="240" w:after="240"/>
              <w:rPr>
                <w:rFonts w:hint="eastAsia" w:ascii="宋体" w:hAnsi="宋体" w:cs="宋体"/>
                <w:sz w:val="24"/>
                <w:szCs w:val="24"/>
              </w:rPr>
            </w:pPr>
          </w:p>
        </w:tc>
        <w:tc>
          <w:tcPr>
            <w:tcW w:w="806" w:type="pct"/>
          </w:tcPr>
          <w:p w14:paraId="3EC1B1D0">
            <w:pPr>
              <w:spacing w:before="240" w:after="240"/>
              <w:rPr>
                <w:rFonts w:hint="eastAsia" w:ascii="宋体" w:hAnsi="宋体" w:cs="宋体"/>
                <w:sz w:val="24"/>
                <w:szCs w:val="24"/>
              </w:rPr>
            </w:pPr>
          </w:p>
        </w:tc>
      </w:tr>
      <w:tr w14:paraId="69CEE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44" w:type="pct"/>
          </w:tcPr>
          <w:p w14:paraId="55D5BF65">
            <w:pPr>
              <w:spacing w:before="240" w:after="240"/>
              <w:rPr>
                <w:rFonts w:hint="eastAsia" w:ascii="宋体" w:hAnsi="宋体" w:cs="宋体"/>
                <w:sz w:val="24"/>
                <w:szCs w:val="24"/>
              </w:rPr>
            </w:pPr>
          </w:p>
        </w:tc>
        <w:tc>
          <w:tcPr>
            <w:tcW w:w="1454" w:type="pct"/>
          </w:tcPr>
          <w:p w14:paraId="041C59EA">
            <w:pPr>
              <w:spacing w:before="240" w:after="240"/>
              <w:rPr>
                <w:rFonts w:hint="eastAsia" w:ascii="宋体" w:hAnsi="宋体" w:cs="宋体"/>
                <w:sz w:val="24"/>
                <w:szCs w:val="24"/>
              </w:rPr>
            </w:pPr>
          </w:p>
        </w:tc>
        <w:tc>
          <w:tcPr>
            <w:tcW w:w="1487" w:type="pct"/>
          </w:tcPr>
          <w:p w14:paraId="4EB21FC7">
            <w:pPr>
              <w:spacing w:before="240" w:after="240"/>
              <w:rPr>
                <w:rFonts w:hint="eastAsia" w:ascii="宋体" w:hAnsi="宋体" w:cs="宋体"/>
                <w:sz w:val="24"/>
                <w:szCs w:val="24"/>
              </w:rPr>
            </w:pPr>
          </w:p>
        </w:tc>
        <w:tc>
          <w:tcPr>
            <w:tcW w:w="806" w:type="pct"/>
          </w:tcPr>
          <w:p w14:paraId="2279F0DC">
            <w:pPr>
              <w:spacing w:before="240" w:after="240"/>
              <w:rPr>
                <w:rFonts w:hint="eastAsia" w:ascii="宋体" w:hAnsi="宋体" w:cs="宋体"/>
                <w:sz w:val="24"/>
                <w:szCs w:val="24"/>
              </w:rPr>
            </w:pPr>
          </w:p>
        </w:tc>
        <w:tc>
          <w:tcPr>
            <w:tcW w:w="806" w:type="pct"/>
          </w:tcPr>
          <w:p w14:paraId="3B19DA0D">
            <w:pPr>
              <w:spacing w:before="240" w:after="240"/>
              <w:rPr>
                <w:rFonts w:hint="eastAsia" w:ascii="宋体" w:hAnsi="宋体" w:cs="宋体"/>
                <w:sz w:val="24"/>
                <w:szCs w:val="24"/>
              </w:rPr>
            </w:pPr>
          </w:p>
        </w:tc>
      </w:tr>
      <w:tr w14:paraId="6FA98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444" w:type="pct"/>
          </w:tcPr>
          <w:p w14:paraId="4242ABEE">
            <w:pPr>
              <w:spacing w:before="240" w:after="240"/>
              <w:rPr>
                <w:rFonts w:hint="eastAsia" w:ascii="宋体" w:hAnsi="宋体" w:cs="宋体"/>
                <w:sz w:val="24"/>
                <w:szCs w:val="24"/>
              </w:rPr>
            </w:pPr>
          </w:p>
        </w:tc>
        <w:tc>
          <w:tcPr>
            <w:tcW w:w="1454" w:type="pct"/>
          </w:tcPr>
          <w:p w14:paraId="12CA90F2">
            <w:pPr>
              <w:spacing w:before="240" w:after="240"/>
              <w:rPr>
                <w:rFonts w:hint="eastAsia" w:ascii="宋体" w:hAnsi="宋体" w:cs="宋体"/>
                <w:sz w:val="24"/>
                <w:szCs w:val="24"/>
              </w:rPr>
            </w:pPr>
          </w:p>
        </w:tc>
        <w:tc>
          <w:tcPr>
            <w:tcW w:w="1487" w:type="pct"/>
          </w:tcPr>
          <w:p w14:paraId="00275255">
            <w:pPr>
              <w:spacing w:before="240" w:after="240"/>
              <w:rPr>
                <w:rFonts w:hint="eastAsia" w:ascii="宋体" w:hAnsi="宋体" w:cs="宋体"/>
                <w:sz w:val="24"/>
                <w:szCs w:val="24"/>
              </w:rPr>
            </w:pPr>
          </w:p>
        </w:tc>
        <w:tc>
          <w:tcPr>
            <w:tcW w:w="806" w:type="pct"/>
          </w:tcPr>
          <w:p w14:paraId="7F8E461D">
            <w:pPr>
              <w:spacing w:before="240" w:after="240"/>
              <w:rPr>
                <w:rFonts w:hint="eastAsia" w:ascii="宋体" w:hAnsi="宋体" w:cs="宋体"/>
                <w:sz w:val="24"/>
                <w:szCs w:val="24"/>
              </w:rPr>
            </w:pPr>
          </w:p>
        </w:tc>
        <w:tc>
          <w:tcPr>
            <w:tcW w:w="806" w:type="pct"/>
          </w:tcPr>
          <w:p w14:paraId="1024D26E">
            <w:pPr>
              <w:spacing w:before="240" w:after="240"/>
              <w:rPr>
                <w:rFonts w:hint="eastAsia" w:ascii="宋体" w:hAnsi="宋体" w:cs="宋体"/>
                <w:sz w:val="24"/>
                <w:szCs w:val="24"/>
              </w:rPr>
            </w:pPr>
          </w:p>
        </w:tc>
      </w:tr>
      <w:tr w14:paraId="3F3CB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44" w:type="pct"/>
          </w:tcPr>
          <w:p w14:paraId="56846E40">
            <w:pPr>
              <w:spacing w:before="240" w:after="240"/>
              <w:rPr>
                <w:rFonts w:hint="eastAsia" w:ascii="宋体" w:hAnsi="宋体" w:cs="宋体"/>
                <w:sz w:val="24"/>
                <w:szCs w:val="24"/>
              </w:rPr>
            </w:pPr>
          </w:p>
        </w:tc>
        <w:tc>
          <w:tcPr>
            <w:tcW w:w="1454" w:type="pct"/>
          </w:tcPr>
          <w:p w14:paraId="318679F9">
            <w:pPr>
              <w:spacing w:before="240" w:after="240"/>
              <w:rPr>
                <w:rFonts w:hint="eastAsia" w:ascii="宋体" w:hAnsi="宋体" w:cs="宋体"/>
                <w:sz w:val="24"/>
                <w:szCs w:val="24"/>
              </w:rPr>
            </w:pPr>
          </w:p>
        </w:tc>
        <w:tc>
          <w:tcPr>
            <w:tcW w:w="1487" w:type="pct"/>
          </w:tcPr>
          <w:p w14:paraId="0F020E71">
            <w:pPr>
              <w:spacing w:before="240" w:after="240"/>
              <w:rPr>
                <w:rFonts w:hint="eastAsia" w:ascii="宋体" w:hAnsi="宋体" w:cs="宋体"/>
                <w:sz w:val="24"/>
                <w:szCs w:val="24"/>
              </w:rPr>
            </w:pPr>
          </w:p>
        </w:tc>
        <w:tc>
          <w:tcPr>
            <w:tcW w:w="806" w:type="pct"/>
          </w:tcPr>
          <w:p w14:paraId="5CF0B561">
            <w:pPr>
              <w:spacing w:before="240" w:after="240"/>
              <w:rPr>
                <w:rFonts w:hint="eastAsia" w:ascii="宋体" w:hAnsi="宋体" w:cs="宋体"/>
                <w:sz w:val="24"/>
                <w:szCs w:val="24"/>
              </w:rPr>
            </w:pPr>
          </w:p>
        </w:tc>
        <w:tc>
          <w:tcPr>
            <w:tcW w:w="806" w:type="pct"/>
          </w:tcPr>
          <w:p w14:paraId="196B2A26">
            <w:pPr>
              <w:spacing w:before="240" w:after="240"/>
              <w:rPr>
                <w:rFonts w:hint="eastAsia" w:ascii="宋体" w:hAnsi="宋体" w:cs="宋体"/>
                <w:sz w:val="24"/>
                <w:szCs w:val="24"/>
              </w:rPr>
            </w:pPr>
          </w:p>
        </w:tc>
      </w:tr>
    </w:tbl>
    <w:p w14:paraId="17CA25B9">
      <w:pPr>
        <w:autoSpaceDE w:val="0"/>
        <w:autoSpaceDN w:val="0"/>
        <w:adjustRightInd w:val="0"/>
        <w:spacing w:line="360" w:lineRule="auto"/>
        <w:rPr>
          <w:rFonts w:hint="eastAsia" w:ascii="宋体" w:hAnsi="宋体" w:cs="宋体"/>
          <w:color w:val="000000"/>
          <w:sz w:val="24"/>
          <w:szCs w:val="24"/>
        </w:rPr>
      </w:pPr>
      <w:r>
        <w:rPr>
          <w:rFonts w:hint="eastAsia" w:ascii="宋体" w:hAnsi="宋体" w:cs="宋体"/>
          <w:color w:val="000000"/>
          <w:sz w:val="24"/>
          <w:szCs w:val="24"/>
        </w:rPr>
        <w:t>说明：</w:t>
      </w:r>
    </w:p>
    <w:p w14:paraId="4115F06A">
      <w:pPr>
        <w:numPr>
          <w:ilvl w:val="0"/>
          <w:numId w:val="12"/>
        </w:numPr>
        <w:autoSpaceDE w:val="0"/>
        <w:autoSpaceDN w:val="0"/>
        <w:adjustRightInd w:val="0"/>
        <w:spacing w:line="360" w:lineRule="auto"/>
        <w:rPr>
          <w:rFonts w:hint="eastAsia" w:ascii="宋体" w:hAnsi="宋体" w:cs="宋体"/>
          <w:sz w:val="24"/>
          <w:szCs w:val="24"/>
        </w:rPr>
      </w:pPr>
      <w:r>
        <w:rPr>
          <w:rFonts w:hint="eastAsia" w:ascii="宋体" w:hAnsi="宋体" w:cs="宋体"/>
          <w:sz w:val="24"/>
          <w:szCs w:val="24"/>
        </w:rPr>
        <w:t>偏离情况项填写“正偏离”、“负偏离”或“无偏离”，说明项中填写原因。</w:t>
      </w:r>
    </w:p>
    <w:p w14:paraId="01B4F3EB">
      <w:pPr>
        <w:autoSpaceDE w:val="0"/>
        <w:autoSpaceDN w:val="0"/>
        <w:adjustRightInd w:val="0"/>
        <w:spacing w:line="360" w:lineRule="auto"/>
        <w:rPr>
          <w:rFonts w:hint="eastAsia" w:ascii="宋体" w:hAnsi="宋体" w:cs="宋体"/>
          <w:sz w:val="24"/>
          <w:szCs w:val="24"/>
        </w:rPr>
      </w:pPr>
      <w:r>
        <w:rPr>
          <w:rFonts w:hint="eastAsia" w:ascii="宋体" w:hAnsi="宋体" w:cs="宋体"/>
          <w:sz w:val="24"/>
          <w:szCs w:val="24"/>
        </w:rPr>
        <w:t>2. 供应商应按照招标文件要求，对响应有偏离的，则说明偏离的内容，若有要求提供相关证明资料的，须按要求提供，否则视为负偏离。</w:t>
      </w:r>
    </w:p>
    <w:p w14:paraId="15FE36F2">
      <w:pPr>
        <w:autoSpaceDE w:val="0"/>
        <w:autoSpaceDN w:val="0"/>
        <w:adjustRightInd w:val="0"/>
        <w:spacing w:line="360" w:lineRule="auto"/>
        <w:rPr>
          <w:rFonts w:hint="eastAsia" w:ascii="宋体" w:hAnsi="宋体" w:cs="宋体"/>
          <w:sz w:val="24"/>
          <w:szCs w:val="24"/>
        </w:rPr>
      </w:pPr>
      <w:r>
        <w:rPr>
          <w:rFonts w:hint="eastAsia" w:ascii="宋体" w:hAnsi="宋体" w:cs="宋体"/>
          <w:sz w:val="24"/>
          <w:szCs w:val="24"/>
        </w:rPr>
        <w:t>3. 对招标文件中的所有商务、技术要求，除本表所列明的所有偏离外，均视作供应商已对之理解和响应。此表中若无任何文字说明，内容为空白的，投标无效。</w:t>
      </w:r>
    </w:p>
    <w:p w14:paraId="548E9AB6">
      <w:pPr>
        <w:autoSpaceDE w:val="0"/>
        <w:autoSpaceDN w:val="0"/>
        <w:adjustRightInd w:val="0"/>
        <w:spacing w:line="360" w:lineRule="auto"/>
        <w:rPr>
          <w:rFonts w:hint="eastAsia" w:ascii="宋体" w:hAnsi="宋体" w:cs="宋体"/>
          <w:sz w:val="24"/>
          <w:szCs w:val="24"/>
        </w:rPr>
      </w:pPr>
      <w:r>
        <w:rPr>
          <w:rFonts w:hint="eastAsia" w:ascii="宋体" w:hAnsi="宋体" w:cs="宋体"/>
          <w:sz w:val="24"/>
          <w:szCs w:val="24"/>
        </w:rPr>
        <w:t>4. 投标人必须据实填写，不得虚假响应，否则将取消其投标或中标资格，并按有关规定进处罚。</w:t>
      </w:r>
    </w:p>
    <w:p w14:paraId="7DD21CD1">
      <w:pPr>
        <w:pStyle w:val="10"/>
        <w:spacing w:line="480" w:lineRule="auto"/>
        <w:rPr>
          <w:rFonts w:hint="eastAsia" w:hAnsi="宋体" w:cs="宋体"/>
          <w:sz w:val="24"/>
          <w:szCs w:val="24"/>
          <w:u w:val="single"/>
        </w:rPr>
      </w:pPr>
      <w:r>
        <w:rPr>
          <w:rFonts w:hAnsi="宋体" w:cs="宋体"/>
          <w:sz w:val="24"/>
          <w:szCs w:val="24"/>
          <w:lang w:val="zh-CN"/>
        </w:rPr>
        <w:t>投标人</w:t>
      </w:r>
      <w:r>
        <w:rPr>
          <w:rFonts w:hint="eastAsia" w:hAnsi="宋体" w:cs="宋体"/>
          <w:sz w:val="24"/>
          <w:szCs w:val="24"/>
          <w:lang w:val="zh-CN"/>
        </w:rPr>
        <w:t>名称</w:t>
      </w:r>
      <w:r>
        <w:rPr>
          <w:rFonts w:hint="eastAsia" w:hAnsi="宋体" w:cs="宋体"/>
          <w:spacing w:val="-3"/>
          <w:sz w:val="24"/>
          <w:szCs w:val="24"/>
        </w:rPr>
        <w:t>(加盖公章)</w:t>
      </w:r>
      <w:r>
        <w:rPr>
          <w:rFonts w:hAnsi="宋体" w:cs="宋体"/>
          <w:sz w:val="24"/>
          <w:szCs w:val="24"/>
          <w:lang w:val="zh-CN"/>
        </w:rPr>
        <w:t>：</w:t>
      </w:r>
      <w:r>
        <w:rPr>
          <w:rFonts w:hAnsi="宋体" w:cs="宋体"/>
          <w:sz w:val="24"/>
          <w:szCs w:val="24"/>
          <w:u w:val="single"/>
          <w:lang w:val="zh-CN"/>
        </w:rPr>
        <w:t xml:space="preserve">     </w:t>
      </w:r>
      <w:r>
        <w:rPr>
          <w:rFonts w:hint="eastAsia" w:hAnsi="宋体" w:cs="宋体"/>
          <w:sz w:val="24"/>
          <w:szCs w:val="24"/>
          <w:u w:val="single"/>
        </w:rPr>
        <w:t xml:space="preserve">              </w:t>
      </w:r>
    </w:p>
    <w:p w14:paraId="00A882ED">
      <w:pPr>
        <w:pStyle w:val="10"/>
        <w:spacing w:line="480" w:lineRule="auto"/>
        <w:rPr>
          <w:rFonts w:hint="eastAsia" w:hAnsi="宋体" w:cs="宋体"/>
          <w:sz w:val="24"/>
          <w:szCs w:val="24"/>
          <w:u w:val="single"/>
        </w:rPr>
      </w:pPr>
      <w:r>
        <w:rPr>
          <w:rFonts w:hAnsi="宋体" w:cs="宋体"/>
          <w:sz w:val="24"/>
          <w:szCs w:val="24"/>
          <w:lang w:val="zh-CN"/>
        </w:rPr>
        <w:t>法定代表人</w:t>
      </w:r>
      <w:r>
        <w:rPr>
          <w:rFonts w:hint="eastAsia" w:hAnsi="宋体" w:cs="宋体"/>
          <w:sz w:val="24"/>
          <w:szCs w:val="24"/>
          <w:lang w:val="zh-CN"/>
        </w:rPr>
        <w:t>或授权代理人</w:t>
      </w:r>
      <w:r>
        <w:rPr>
          <w:rFonts w:hAnsi="宋体" w:cs="宋体"/>
          <w:sz w:val="24"/>
          <w:szCs w:val="24"/>
          <w:lang w:val="zh-CN"/>
        </w:rPr>
        <w:t>（盖章或签字）：</w:t>
      </w:r>
    </w:p>
    <w:p w14:paraId="5BB38175">
      <w:pPr>
        <w:pStyle w:val="10"/>
        <w:spacing w:line="480" w:lineRule="auto"/>
        <w:rPr>
          <w:rFonts w:hint="eastAsia" w:hAnsi="宋体" w:cs="宋体"/>
          <w:sz w:val="24"/>
          <w:szCs w:val="24"/>
        </w:rPr>
      </w:pPr>
      <w:r>
        <w:rPr>
          <w:rFonts w:hAnsi="宋体" w:cs="宋体"/>
          <w:sz w:val="24"/>
          <w:szCs w:val="24"/>
          <w:lang w:val="zh-CN"/>
        </w:rPr>
        <w:t>日 期：</w:t>
      </w:r>
      <w:r>
        <w:rPr>
          <w:rFonts w:hint="eastAsia" w:hAnsi="宋体" w:cs="宋体"/>
          <w:sz w:val="24"/>
          <w:szCs w:val="24"/>
          <w:u w:val="single"/>
        </w:rPr>
        <w:t xml:space="preserve">                                </w:t>
      </w:r>
    </w:p>
    <w:p w14:paraId="107A4AA9">
      <w:pPr>
        <w:autoSpaceDE w:val="0"/>
        <w:autoSpaceDN w:val="0"/>
        <w:adjustRightInd w:val="0"/>
        <w:jc w:val="center"/>
        <w:rPr>
          <w:rFonts w:hint="eastAsia" w:ascii="宋体" w:hAnsi="宋体" w:cs="宋体"/>
          <w:b/>
          <w:bCs/>
          <w:color w:val="000000"/>
          <w:sz w:val="28"/>
          <w:szCs w:val="28"/>
        </w:rPr>
      </w:pPr>
    </w:p>
    <w:p w14:paraId="3E8EFC94">
      <w:pPr>
        <w:autoSpaceDE w:val="0"/>
        <w:autoSpaceDN w:val="0"/>
        <w:adjustRightInd w:val="0"/>
        <w:jc w:val="center"/>
        <w:rPr>
          <w:rFonts w:hint="eastAsia" w:ascii="宋体" w:hAnsi="宋体" w:cs="宋体"/>
          <w:b/>
          <w:bCs/>
          <w:color w:val="000000"/>
          <w:sz w:val="28"/>
          <w:szCs w:val="28"/>
          <w:lang w:val="zh-CN"/>
        </w:rPr>
      </w:pPr>
      <w:r>
        <w:rPr>
          <w:rFonts w:hint="eastAsia" w:ascii="宋体" w:hAnsi="宋体" w:cs="宋体"/>
          <w:b/>
          <w:bCs/>
          <w:color w:val="000000"/>
          <w:sz w:val="28"/>
          <w:szCs w:val="28"/>
        </w:rPr>
        <w:t>六、</w:t>
      </w:r>
      <w:r>
        <w:rPr>
          <w:rFonts w:hint="eastAsia" w:ascii="宋体" w:hAnsi="宋体" w:cs="宋体"/>
          <w:b/>
          <w:bCs/>
          <w:color w:val="000000"/>
          <w:sz w:val="28"/>
          <w:szCs w:val="28"/>
          <w:lang w:val="zh-CN"/>
        </w:rPr>
        <w:t>投标保证金</w:t>
      </w:r>
    </w:p>
    <w:p w14:paraId="0E7C82AD">
      <w:pPr>
        <w:autoSpaceDE w:val="0"/>
        <w:autoSpaceDN w:val="0"/>
        <w:adjustRightInd w:val="0"/>
        <w:jc w:val="center"/>
        <w:rPr>
          <w:rFonts w:hint="eastAsia" w:ascii="宋体" w:hAnsi="宋体" w:cs="宋体"/>
          <w:b/>
          <w:bCs/>
          <w:color w:val="000000"/>
          <w:szCs w:val="21"/>
          <w:lang w:val="zh-CN"/>
        </w:rPr>
      </w:pPr>
    </w:p>
    <w:p w14:paraId="59ADD035">
      <w:pPr>
        <w:autoSpaceDE w:val="0"/>
        <w:autoSpaceDN w:val="0"/>
        <w:adjustRightInd w:val="0"/>
        <w:jc w:val="left"/>
        <w:rPr>
          <w:rFonts w:hint="eastAsia" w:ascii="宋体" w:hAnsi="宋体" w:cs="宋体"/>
          <w:color w:val="000000"/>
          <w:sz w:val="24"/>
          <w:szCs w:val="24"/>
          <w:lang w:val="zh-CN"/>
        </w:rPr>
      </w:pPr>
      <w:r>
        <w:rPr>
          <w:rFonts w:hint="eastAsia" w:ascii="宋体" w:hAnsi="宋体" w:cs="宋体"/>
          <w:color w:val="000000"/>
          <w:sz w:val="24"/>
          <w:szCs w:val="24"/>
          <w:lang w:val="zh-CN"/>
        </w:rPr>
        <w:t>致</w:t>
      </w:r>
      <w:r>
        <w:rPr>
          <w:rFonts w:hint="eastAsia" w:ascii="宋体" w:hAnsi="宋体" w:cs="宋体"/>
          <w:color w:val="000000"/>
          <w:sz w:val="24"/>
          <w:szCs w:val="24"/>
          <w:u w:val="single"/>
          <w:lang w:val="zh-CN"/>
        </w:rPr>
        <w:t xml:space="preserve"> （采购代理机构名称）</w:t>
      </w:r>
      <w:r>
        <w:rPr>
          <w:rFonts w:hint="eastAsia" w:ascii="宋体" w:hAnsi="宋体" w:cs="宋体"/>
          <w:color w:val="000000"/>
          <w:sz w:val="24"/>
          <w:szCs w:val="24"/>
          <w:lang w:val="zh-CN"/>
        </w:rPr>
        <w:t>：</w:t>
      </w:r>
    </w:p>
    <w:p w14:paraId="7C196548">
      <w:pPr>
        <w:autoSpaceDE w:val="0"/>
        <w:autoSpaceDN w:val="0"/>
        <w:adjustRightInd w:val="0"/>
        <w:jc w:val="left"/>
        <w:rPr>
          <w:rFonts w:hint="eastAsia" w:ascii="宋体" w:hAnsi="宋体" w:cs="宋体"/>
          <w:color w:val="000000"/>
          <w:sz w:val="24"/>
          <w:szCs w:val="24"/>
          <w:lang w:val="zh-CN"/>
        </w:rPr>
      </w:pPr>
    </w:p>
    <w:p w14:paraId="754F67CD">
      <w:pPr>
        <w:autoSpaceDE w:val="0"/>
        <w:autoSpaceDN w:val="0"/>
        <w:adjustRightInd w:val="0"/>
        <w:spacing w:line="360" w:lineRule="auto"/>
        <w:ind w:firstLine="601"/>
        <w:jc w:val="left"/>
        <w:rPr>
          <w:rFonts w:hint="eastAsia" w:ascii="宋体" w:hAnsi="宋体" w:cs="宋体"/>
          <w:color w:val="000000"/>
          <w:sz w:val="24"/>
          <w:szCs w:val="24"/>
          <w:lang w:val="zh-CN"/>
        </w:rPr>
      </w:pP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[投标人名称]（以下称“投标人”）于</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年</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月</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日递交了</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[项目名称、编号]的投标文件。并附有人民币</w:t>
      </w:r>
      <w:r>
        <w:rPr>
          <w:rFonts w:hint="eastAsia" w:ascii="宋体" w:hAnsi="宋体" w:cs="宋体"/>
          <w:color w:val="000000"/>
          <w:sz w:val="24"/>
          <w:szCs w:val="24"/>
          <w:u w:val="single"/>
          <w:lang w:val="zh-CN"/>
        </w:rPr>
        <w:t xml:space="preserve">      </w:t>
      </w:r>
      <w:r>
        <w:rPr>
          <w:rFonts w:hint="eastAsia" w:ascii="宋体" w:hAnsi="宋体" w:cs="宋体"/>
          <w:color w:val="000000"/>
          <w:sz w:val="24"/>
          <w:szCs w:val="24"/>
          <w:lang w:val="zh-CN"/>
        </w:rPr>
        <w:t>万元作为投标保证金。</w:t>
      </w:r>
    </w:p>
    <w:p w14:paraId="024E0C00">
      <w:pPr>
        <w:autoSpaceDE w:val="0"/>
        <w:autoSpaceDN w:val="0"/>
        <w:adjustRightInd w:val="0"/>
        <w:spacing w:line="360" w:lineRule="auto"/>
        <w:ind w:firstLine="601"/>
        <w:jc w:val="left"/>
        <w:rPr>
          <w:rFonts w:hint="eastAsia" w:ascii="宋体" w:hAnsi="宋体" w:cs="宋体"/>
          <w:color w:val="000000"/>
          <w:sz w:val="24"/>
          <w:szCs w:val="24"/>
          <w:lang w:val="zh-CN"/>
        </w:rPr>
      </w:pPr>
      <w:r>
        <w:rPr>
          <w:rFonts w:hint="eastAsia" w:ascii="宋体" w:hAnsi="宋体" w:cs="宋体"/>
          <w:color w:val="000000"/>
          <w:sz w:val="24"/>
          <w:szCs w:val="24"/>
          <w:lang w:val="zh-CN"/>
        </w:rPr>
        <w:t>我方同意招标文件中有关投标保证金的规定，并对我方有约束力。</w:t>
      </w:r>
    </w:p>
    <w:p w14:paraId="072F1E77">
      <w:pPr>
        <w:autoSpaceDE w:val="0"/>
        <w:autoSpaceDN w:val="0"/>
        <w:adjustRightInd w:val="0"/>
        <w:ind w:firstLine="601"/>
        <w:jc w:val="left"/>
        <w:rPr>
          <w:rFonts w:hint="eastAsia" w:ascii="宋体" w:hAnsi="宋体" w:cs="宋体"/>
          <w:color w:val="000000"/>
          <w:sz w:val="24"/>
          <w:szCs w:val="24"/>
          <w:lang w:val="zh-CN"/>
        </w:rPr>
      </w:pPr>
    </w:p>
    <w:p w14:paraId="35B07321">
      <w:pPr>
        <w:autoSpaceDE w:val="0"/>
        <w:autoSpaceDN w:val="0"/>
        <w:adjustRightInd w:val="0"/>
        <w:ind w:firstLine="601"/>
        <w:jc w:val="left"/>
        <w:rPr>
          <w:rFonts w:hint="eastAsia" w:ascii="宋体" w:hAnsi="宋体" w:cs="宋体"/>
          <w:color w:val="000000"/>
          <w:sz w:val="24"/>
          <w:szCs w:val="24"/>
          <w:lang w:val="zh-CN"/>
        </w:rPr>
      </w:pPr>
    </w:p>
    <w:p w14:paraId="4D3D96CA">
      <w:pPr>
        <w:autoSpaceDE w:val="0"/>
        <w:autoSpaceDN w:val="0"/>
        <w:adjustRightInd w:val="0"/>
        <w:ind w:firstLine="570"/>
        <w:jc w:val="left"/>
        <w:rPr>
          <w:rFonts w:hint="eastAsia" w:ascii="宋体" w:hAnsi="宋体" w:cs="宋体"/>
          <w:b/>
          <w:color w:val="000000"/>
          <w:sz w:val="24"/>
          <w:szCs w:val="24"/>
          <w:lang w:val="zh-CN"/>
        </w:rPr>
      </w:pPr>
      <w:r>
        <w:rPr>
          <w:rFonts w:hint="eastAsia" w:ascii="宋体" w:hAnsi="宋体" w:cs="宋体"/>
          <w:b/>
          <w:color w:val="000000"/>
          <w:sz w:val="24"/>
          <w:szCs w:val="24"/>
          <w:lang w:val="zh-CN"/>
        </w:rPr>
        <w:t xml:space="preserve">附：递交投标保证金凭证和企业基本账户信息    </w:t>
      </w:r>
    </w:p>
    <w:p w14:paraId="4ECE9DD2">
      <w:pPr>
        <w:autoSpaceDE w:val="0"/>
        <w:autoSpaceDN w:val="0"/>
        <w:adjustRightInd w:val="0"/>
        <w:ind w:firstLine="570"/>
        <w:jc w:val="left"/>
        <w:rPr>
          <w:rFonts w:hint="eastAsia" w:ascii="宋体" w:hAnsi="宋体" w:cs="宋体"/>
          <w:color w:val="000000"/>
          <w:sz w:val="24"/>
          <w:szCs w:val="24"/>
          <w:lang w:val="zh-CN"/>
        </w:rPr>
      </w:pPr>
    </w:p>
    <w:p w14:paraId="67896458">
      <w:pPr>
        <w:autoSpaceDE w:val="0"/>
        <w:autoSpaceDN w:val="0"/>
        <w:adjustRightInd w:val="0"/>
        <w:ind w:firstLine="570"/>
        <w:jc w:val="left"/>
        <w:rPr>
          <w:rFonts w:hint="eastAsia" w:ascii="宋体" w:hAnsi="宋体" w:cs="宋体"/>
          <w:color w:val="000000"/>
          <w:sz w:val="24"/>
          <w:szCs w:val="24"/>
          <w:lang w:val="zh-CN"/>
        </w:rPr>
      </w:pPr>
    </w:p>
    <w:p w14:paraId="1CDB62C1">
      <w:pPr>
        <w:autoSpaceDE w:val="0"/>
        <w:autoSpaceDN w:val="0"/>
        <w:adjustRightInd w:val="0"/>
        <w:ind w:firstLine="570"/>
        <w:jc w:val="left"/>
        <w:rPr>
          <w:rFonts w:hint="eastAsia" w:ascii="宋体" w:hAnsi="宋体" w:cs="宋体"/>
          <w:color w:val="000000"/>
          <w:sz w:val="24"/>
          <w:szCs w:val="24"/>
          <w:lang w:val="zh-CN"/>
        </w:rPr>
      </w:pPr>
    </w:p>
    <w:p w14:paraId="27685756">
      <w:pPr>
        <w:autoSpaceDE w:val="0"/>
        <w:autoSpaceDN w:val="0"/>
        <w:adjustRightInd w:val="0"/>
        <w:ind w:firstLine="570"/>
        <w:jc w:val="left"/>
        <w:rPr>
          <w:rFonts w:hint="eastAsia" w:ascii="宋体" w:hAnsi="宋体" w:cs="宋体"/>
          <w:color w:val="000000"/>
          <w:sz w:val="24"/>
          <w:szCs w:val="24"/>
          <w:lang w:val="zh-CN"/>
        </w:rPr>
      </w:pPr>
    </w:p>
    <w:p w14:paraId="68EB542F">
      <w:pPr>
        <w:autoSpaceDE w:val="0"/>
        <w:autoSpaceDN w:val="0"/>
        <w:adjustRightInd w:val="0"/>
        <w:ind w:firstLine="570"/>
        <w:jc w:val="left"/>
        <w:rPr>
          <w:rFonts w:hint="eastAsia" w:ascii="宋体" w:hAnsi="宋体" w:cs="宋体"/>
          <w:color w:val="000000"/>
          <w:sz w:val="24"/>
          <w:szCs w:val="24"/>
          <w:lang w:val="zh-CN"/>
        </w:rPr>
      </w:pPr>
    </w:p>
    <w:p w14:paraId="27097607">
      <w:pPr>
        <w:autoSpaceDE w:val="0"/>
        <w:autoSpaceDN w:val="0"/>
        <w:adjustRightInd w:val="0"/>
        <w:ind w:firstLine="570"/>
        <w:jc w:val="left"/>
        <w:rPr>
          <w:rFonts w:hint="eastAsia" w:ascii="宋体" w:hAnsi="宋体" w:cs="宋体"/>
          <w:color w:val="000000"/>
          <w:sz w:val="24"/>
          <w:szCs w:val="24"/>
          <w:lang w:val="zh-CN"/>
        </w:rPr>
      </w:pPr>
    </w:p>
    <w:p w14:paraId="3101B40D">
      <w:pPr>
        <w:autoSpaceDE w:val="0"/>
        <w:autoSpaceDN w:val="0"/>
        <w:adjustRightInd w:val="0"/>
        <w:ind w:firstLine="570"/>
        <w:jc w:val="left"/>
        <w:rPr>
          <w:rFonts w:hint="eastAsia" w:ascii="宋体" w:hAnsi="宋体" w:cs="宋体"/>
          <w:color w:val="000000"/>
          <w:sz w:val="24"/>
          <w:szCs w:val="24"/>
          <w:lang w:val="zh-CN"/>
        </w:rPr>
      </w:pPr>
    </w:p>
    <w:p w14:paraId="29651178">
      <w:pPr>
        <w:pStyle w:val="10"/>
        <w:spacing w:line="480" w:lineRule="auto"/>
        <w:rPr>
          <w:rFonts w:hint="eastAsia" w:hAnsi="宋体" w:cs="宋体"/>
          <w:sz w:val="24"/>
          <w:szCs w:val="24"/>
          <w:u w:val="single"/>
        </w:rPr>
      </w:pPr>
      <w:r>
        <w:rPr>
          <w:rFonts w:hAnsi="宋体" w:cs="宋体"/>
          <w:sz w:val="24"/>
          <w:szCs w:val="24"/>
          <w:lang w:val="zh-CN"/>
        </w:rPr>
        <w:t>投标人</w:t>
      </w:r>
      <w:r>
        <w:rPr>
          <w:rFonts w:hint="eastAsia" w:hAnsi="宋体" w:cs="宋体"/>
          <w:sz w:val="24"/>
          <w:szCs w:val="24"/>
          <w:lang w:val="zh-CN"/>
        </w:rPr>
        <w:t>名称</w:t>
      </w:r>
      <w:r>
        <w:rPr>
          <w:rFonts w:hAnsi="宋体" w:cs="宋体"/>
          <w:sz w:val="24"/>
          <w:szCs w:val="24"/>
          <w:lang w:val="zh-CN"/>
        </w:rPr>
        <w:t>（</w:t>
      </w:r>
      <w:r>
        <w:rPr>
          <w:rFonts w:hint="eastAsia" w:hAnsi="宋体" w:cs="宋体"/>
          <w:sz w:val="24"/>
          <w:szCs w:val="24"/>
        </w:rPr>
        <w:t>加盖公</w:t>
      </w:r>
      <w:r>
        <w:rPr>
          <w:rFonts w:hAnsi="宋体" w:cs="宋体"/>
          <w:sz w:val="24"/>
          <w:szCs w:val="24"/>
          <w:lang w:val="zh-CN"/>
        </w:rPr>
        <w:t>章）：</w:t>
      </w:r>
      <w:r>
        <w:rPr>
          <w:rFonts w:hAnsi="宋体" w:cs="宋体"/>
          <w:sz w:val="24"/>
          <w:szCs w:val="24"/>
          <w:u w:val="single"/>
          <w:lang w:val="zh-CN"/>
        </w:rPr>
        <w:t xml:space="preserve">     </w:t>
      </w:r>
      <w:r>
        <w:rPr>
          <w:rFonts w:hint="eastAsia" w:hAnsi="宋体" w:cs="宋体"/>
          <w:sz w:val="24"/>
          <w:szCs w:val="24"/>
          <w:u w:val="single"/>
        </w:rPr>
        <w:t xml:space="preserve">              </w:t>
      </w:r>
    </w:p>
    <w:p w14:paraId="255BEBA8">
      <w:pPr>
        <w:pStyle w:val="10"/>
        <w:spacing w:line="480" w:lineRule="auto"/>
        <w:rPr>
          <w:rFonts w:hint="eastAsia" w:hAnsi="宋体" w:cs="宋体"/>
          <w:sz w:val="24"/>
          <w:szCs w:val="24"/>
          <w:u w:val="single"/>
        </w:rPr>
      </w:pPr>
      <w:r>
        <w:rPr>
          <w:rFonts w:hAnsi="宋体" w:cs="宋体"/>
          <w:sz w:val="24"/>
          <w:szCs w:val="24"/>
          <w:lang w:val="zh-CN"/>
        </w:rPr>
        <w:t>法定代表人</w:t>
      </w:r>
      <w:r>
        <w:rPr>
          <w:rFonts w:hint="eastAsia" w:hAnsi="宋体" w:cs="宋体"/>
          <w:sz w:val="24"/>
          <w:szCs w:val="24"/>
          <w:lang w:val="zh-CN"/>
        </w:rPr>
        <w:t>或授权代理人</w:t>
      </w:r>
      <w:r>
        <w:rPr>
          <w:rFonts w:hAnsi="宋体" w:cs="宋体"/>
          <w:sz w:val="24"/>
          <w:szCs w:val="24"/>
          <w:lang w:val="zh-CN"/>
        </w:rPr>
        <w:t>（盖章或签字）：</w:t>
      </w:r>
    </w:p>
    <w:p w14:paraId="526C554F">
      <w:pPr>
        <w:pStyle w:val="10"/>
        <w:spacing w:line="480" w:lineRule="auto"/>
        <w:rPr>
          <w:rFonts w:hint="eastAsia" w:hAnsi="宋体" w:cs="宋体"/>
          <w:sz w:val="24"/>
          <w:szCs w:val="24"/>
        </w:rPr>
      </w:pPr>
      <w:r>
        <w:rPr>
          <w:rFonts w:hAnsi="宋体" w:cs="宋体"/>
          <w:sz w:val="24"/>
          <w:szCs w:val="24"/>
          <w:lang w:val="zh-CN"/>
        </w:rPr>
        <w:t>日 期：</w:t>
      </w:r>
      <w:r>
        <w:rPr>
          <w:rFonts w:hint="eastAsia" w:hAnsi="宋体" w:cs="宋体"/>
          <w:sz w:val="24"/>
          <w:szCs w:val="24"/>
          <w:u w:val="single"/>
        </w:rPr>
        <w:t xml:space="preserve">                                </w:t>
      </w:r>
    </w:p>
    <w:p w14:paraId="2111AA44">
      <w:pPr>
        <w:autoSpaceDE w:val="0"/>
        <w:autoSpaceDN w:val="0"/>
        <w:adjustRightInd w:val="0"/>
        <w:spacing w:line="480" w:lineRule="auto"/>
        <w:jc w:val="center"/>
        <w:rPr>
          <w:rFonts w:hint="eastAsia" w:ascii="宋体" w:hAnsi="宋体" w:cs="宋体"/>
          <w:b/>
          <w:bCs/>
          <w:color w:val="000000"/>
          <w:sz w:val="28"/>
          <w:szCs w:val="28"/>
          <w:lang w:val="zh-CN"/>
        </w:rPr>
      </w:pPr>
    </w:p>
    <w:p w14:paraId="3DBDC221">
      <w:pPr>
        <w:autoSpaceDE w:val="0"/>
        <w:autoSpaceDN w:val="0"/>
        <w:adjustRightInd w:val="0"/>
        <w:spacing w:line="480" w:lineRule="auto"/>
        <w:jc w:val="center"/>
        <w:rPr>
          <w:rFonts w:hint="eastAsia" w:ascii="宋体" w:hAnsi="宋体" w:cs="宋体"/>
          <w:b/>
          <w:bCs/>
          <w:color w:val="000000"/>
          <w:sz w:val="28"/>
          <w:szCs w:val="28"/>
          <w:lang w:val="zh-CN"/>
        </w:rPr>
      </w:pPr>
    </w:p>
    <w:p w14:paraId="33CD3425">
      <w:pPr>
        <w:autoSpaceDE w:val="0"/>
        <w:autoSpaceDN w:val="0"/>
        <w:adjustRightInd w:val="0"/>
        <w:spacing w:line="480" w:lineRule="auto"/>
        <w:jc w:val="center"/>
        <w:rPr>
          <w:rFonts w:hint="eastAsia" w:ascii="宋体" w:hAnsi="宋体" w:cs="宋体"/>
          <w:b/>
          <w:bCs/>
          <w:color w:val="000000"/>
          <w:sz w:val="28"/>
          <w:szCs w:val="28"/>
          <w:lang w:val="zh-CN"/>
        </w:rPr>
      </w:pPr>
    </w:p>
    <w:p w14:paraId="62564635">
      <w:pPr>
        <w:autoSpaceDE w:val="0"/>
        <w:autoSpaceDN w:val="0"/>
        <w:adjustRightInd w:val="0"/>
        <w:spacing w:line="480" w:lineRule="auto"/>
        <w:jc w:val="center"/>
        <w:rPr>
          <w:rFonts w:hint="eastAsia" w:ascii="宋体" w:hAnsi="宋体" w:cs="宋体"/>
          <w:b/>
          <w:bCs/>
          <w:color w:val="000000"/>
          <w:sz w:val="28"/>
          <w:szCs w:val="28"/>
          <w:lang w:val="zh-CN"/>
        </w:rPr>
      </w:pPr>
    </w:p>
    <w:p w14:paraId="22D04622">
      <w:pPr>
        <w:autoSpaceDE w:val="0"/>
        <w:autoSpaceDN w:val="0"/>
        <w:adjustRightInd w:val="0"/>
        <w:spacing w:line="480" w:lineRule="auto"/>
        <w:jc w:val="center"/>
        <w:rPr>
          <w:rFonts w:hint="eastAsia" w:ascii="宋体" w:hAnsi="宋体" w:cs="宋体"/>
          <w:b/>
          <w:bCs/>
          <w:color w:val="000000"/>
          <w:sz w:val="28"/>
          <w:szCs w:val="28"/>
          <w:lang w:val="zh-CN"/>
        </w:rPr>
      </w:pPr>
    </w:p>
    <w:p w14:paraId="2B1F48E4">
      <w:pPr>
        <w:autoSpaceDE w:val="0"/>
        <w:autoSpaceDN w:val="0"/>
        <w:adjustRightInd w:val="0"/>
        <w:spacing w:line="480" w:lineRule="auto"/>
        <w:jc w:val="center"/>
        <w:rPr>
          <w:rFonts w:hint="eastAsia" w:ascii="宋体" w:hAnsi="宋体" w:cs="宋体"/>
          <w:b/>
          <w:bCs/>
          <w:color w:val="000000"/>
          <w:sz w:val="28"/>
          <w:szCs w:val="28"/>
          <w:lang w:val="zh-CN"/>
        </w:rPr>
      </w:pPr>
    </w:p>
    <w:p w14:paraId="6A3C11B1">
      <w:pPr>
        <w:pStyle w:val="3"/>
        <w:rPr>
          <w:lang w:val="zh-CN"/>
        </w:rPr>
      </w:pPr>
    </w:p>
    <w:p w14:paraId="1D7F9C5A">
      <w:pPr>
        <w:autoSpaceDE w:val="0"/>
        <w:autoSpaceDN w:val="0"/>
        <w:adjustRightInd w:val="0"/>
        <w:spacing w:line="480" w:lineRule="auto"/>
        <w:jc w:val="center"/>
        <w:rPr>
          <w:rFonts w:hint="eastAsia" w:ascii="宋体" w:hAnsi="宋体" w:cs="宋体"/>
          <w:b/>
          <w:bCs/>
          <w:color w:val="000000"/>
          <w:sz w:val="28"/>
          <w:szCs w:val="28"/>
          <w:lang w:val="zh-CN"/>
        </w:rPr>
      </w:pPr>
    </w:p>
    <w:p w14:paraId="439DF57F">
      <w:pPr>
        <w:autoSpaceDE w:val="0"/>
        <w:autoSpaceDN w:val="0"/>
        <w:adjustRightInd w:val="0"/>
        <w:jc w:val="center"/>
        <w:rPr>
          <w:rFonts w:hint="eastAsia" w:ascii="宋体" w:hAnsi="宋体" w:cs="宋体"/>
          <w:b/>
          <w:bCs/>
          <w:color w:val="000000"/>
          <w:sz w:val="28"/>
          <w:szCs w:val="28"/>
          <w:lang w:val="zh-CN"/>
        </w:rPr>
      </w:pPr>
      <w:r>
        <w:rPr>
          <w:rFonts w:hint="eastAsia" w:ascii="宋体" w:hAnsi="宋体" w:cs="宋体"/>
          <w:b/>
          <w:bCs/>
          <w:color w:val="000000"/>
          <w:sz w:val="28"/>
          <w:szCs w:val="28"/>
        </w:rPr>
        <w:t>七</w:t>
      </w:r>
      <w:r>
        <w:rPr>
          <w:rFonts w:hint="eastAsia" w:ascii="宋体" w:hAnsi="宋体" w:cs="宋体"/>
          <w:b/>
          <w:bCs/>
          <w:color w:val="000000"/>
          <w:sz w:val="28"/>
          <w:szCs w:val="28"/>
          <w:lang w:val="zh-CN"/>
        </w:rPr>
        <w:t>、投标人的资格声明</w:t>
      </w:r>
    </w:p>
    <w:p w14:paraId="1DDFE9F2">
      <w:pPr>
        <w:autoSpaceDE w:val="0"/>
        <w:autoSpaceDN w:val="0"/>
        <w:adjustRightInd w:val="0"/>
        <w:jc w:val="center"/>
        <w:rPr>
          <w:rFonts w:hint="eastAsia" w:ascii="宋体" w:hAnsi="宋体" w:cs="宋体"/>
          <w:b/>
          <w:bCs/>
          <w:color w:val="000000"/>
          <w:szCs w:val="21"/>
          <w:lang w:val="zh-CN"/>
        </w:rPr>
      </w:pPr>
    </w:p>
    <w:p w14:paraId="321EB677">
      <w:pPr>
        <w:autoSpaceDE w:val="0"/>
        <w:autoSpaceDN w:val="0"/>
        <w:adjustRightInd w:val="0"/>
        <w:rPr>
          <w:rFonts w:hint="eastAsia" w:ascii="宋体" w:hAnsi="宋体" w:cs="宋体"/>
          <w:bCs/>
          <w:color w:val="000000"/>
          <w:szCs w:val="21"/>
          <w:lang w:val="zh-CN"/>
        </w:rPr>
      </w:pPr>
    </w:p>
    <w:p w14:paraId="5F4ACCFE">
      <w:pPr>
        <w:spacing w:line="360" w:lineRule="auto"/>
        <w:rPr>
          <w:sz w:val="24"/>
          <w:szCs w:val="24"/>
        </w:rPr>
      </w:pPr>
      <w:r>
        <w:rPr>
          <w:rFonts w:hint="eastAsia"/>
          <w:sz w:val="24"/>
          <w:szCs w:val="24"/>
        </w:rPr>
        <w:t>致：</w:t>
      </w:r>
      <w:r>
        <w:rPr>
          <w:rFonts w:hint="eastAsia"/>
          <w:sz w:val="24"/>
          <w:szCs w:val="24"/>
          <w:u w:val="single"/>
        </w:rPr>
        <w:t xml:space="preserve">采购人或采购代理机构 </w:t>
      </w:r>
    </w:p>
    <w:p w14:paraId="53A71D57">
      <w:pPr>
        <w:spacing w:line="360" w:lineRule="auto"/>
        <w:rPr>
          <w:sz w:val="24"/>
          <w:szCs w:val="24"/>
        </w:rPr>
      </w:pPr>
      <w:r>
        <w:rPr>
          <w:rFonts w:hint="eastAsia"/>
          <w:sz w:val="24"/>
          <w:szCs w:val="24"/>
        </w:rPr>
        <w:t xml:space="preserve">在参与本次项目投标中，我单位承诺： </w:t>
      </w:r>
    </w:p>
    <w:p w14:paraId="4D1D701E">
      <w:pPr>
        <w:spacing w:line="360" w:lineRule="auto"/>
        <w:rPr>
          <w:sz w:val="24"/>
          <w:szCs w:val="24"/>
        </w:rPr>
      </w:pPr>
      <w:r>
        <w:rPr>
          <w:rFonts w:hint="eastAsia"/>
          <w:sz w:val="24"/>
          <w:szCs w:val="24"/>
        </w:rPr>
        <w:t xml:space="preserve">（一）具有良好的商业信誉和健全的财务会计制度； </w:t>
      </w:r>
    </w:p>
    <w:p w14:paraId="7D62FCBF">
      <w:pPr>
        <w:spacing w:line="360" w:lineRule="auto"/>
        <w:rPr>
          <w:sz w:val="24"/>
          <w:szCs w:val="24"/>
        </w:rPr>
      </w:pPr>
      <w:r>
        <w:rPr>
          <w:rFonts w:hint="eastAsia"/>
          <w:sz w:val="24"/>
          <w:szCs w:val="24"/>
        </w:rPr>
        <w:t xml:space="preserve">（二）具有履行合同所必需的设备和专业技术能力； </w:t>
      </w:r>
    </w:p>
    <w:p w14:paraId="59872106">
      <w:pPr>
        <w:spacing w:line="360" w:lineRule="auto"/>
        <w:rPr>
          <w:sz w:val="24"/>
          <w:szCs w:val="24"/>
        </w:rPr>
      </w:pPr>
      <w:r>
        <w:rPr>
          <w:rFonts w:hint="eastAsia"/>
          <w:sz w:val="24"/>
          <w:szCs w:val="24"/>
        </w:rPr>
        <w:t xml:space="preserve">（三）有依法缴纳税收和社会保障资金的良好记录； </w:t>
      </w:r>
    </w:p>
    <w:p w14:paraId="300AC3EA">
      <w:pPr>
        <w:spacing w:line="360" w:lineRule="auto"/>
        <w:rPr>
          <w:sz w:val="24"/>
          <w:szCs w:val="24"/>
        </w:rPr>
      </w:pPr>
      <w:r>
        <w:rPr>
          <w:rFonts w:hint="eastAsia"/>
          <w:sz w:val="24"/>
          <w:szCs w:val="24"/>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280AAE98">
      <w:pPr>
        <w:spacing w:line="360" w:lineRule="auto"/>
        <w:rPr>
          <w:sz w:val="24"/>
          <w:szCs w:val="24"/>
        </w:rPr>
      </w:pPr>
      <w:r>
        <w:rPr>
          <w:rFonts w:hint="eastAsia"/>
          <w:sz w:val="24"/>
          <w:szCs w:val="24"/>
        </w:rPr>
        <w:t xml:space="preserve">（五）我单位不属于政府采购法律、行政法规规定的公益一类事业单位、或使用事业编制且由财政拨款保障的群团组织（仅适用于政府购买服务项目）； </w:t>
      </w:r>
    </w:p>
    <w:p w14:paraId="3CD8B4BE">
      <w:pPr>
        <w:spacing w:line="360" w:lineRule="auto"/>
        <w:rPr>
          <w:sz w:val="24"/>
          <w:szCs w:val="24"/>
        </w:rPr>
      </w:pPr>
      <w:r>
        <w:rPr>
          <w:rFonts w:hint="eastAsia"/>
          <w:sz w:val="24"/>
          <w:szCs w:val="24"/>
        </w:rPr>
        <w:t xml:space="preserve">（六）我单位不存在为采购项目提供整体设计、规范编制或者项目管理、监理、检测等服务后，再参加该采购项目的其他采购活动的情形（单一来源采购项目除外）； </w:t>
      </w:r>
    </w:p>
    <w:p w14:paraId="609AA75A">
      <w:pPr>
        <w:spacing w:line="360" w:lineRule="auto"/>
        <w:rPr>
          <w:rFonts w:hint="eastAsia" w:ascii="宋体" w:hAnsi="宋体" w:cs="宋体"/>
          <w:sz w:val="24"/>
          <w:szCs w:val="24"/>
        </w:rPr>
      </w:pPr>
      <w:r>
        <w:rPr>
          <w:rFonts w:hint="eastAsia"/>
          <w:sz w:val="24"/>
          <w:szCs w:val="24"/>
        </w:rPr>
        <w:t>上述声明真实有效，否则我方负全部责任。</w:t>
      </w:r>
      <w:r>
        <w:rPr>
          <w:rFonts w:hint="eastAsia" w:ascii="宋体" w:hAnsi="宋体" w:cs="宋体"/>
          <w:color w:val="000000"/>
          <w:kern w:val="0"/>
          <w:sz w:val="24"/>
          <w:szCs w:val="24"/>
          <w:lang w:bidi="ar"/>
        </w:rPr>
        <w:t xml:space="preserve"> </w:t>
      </w:r>
    </w:p>
    <w:p w14:paraId="281308BB">
      <w:pPr>
        <w:widowControl/>
        <w:jc w:val="right"/>
        <w:rPr>
          <w:rFonts w:hint="eastAsia" w:ascii="宋体" w:hAnsi="宋体" w:cs="宋体"/>
          <w:color w:val="000000"/>
          <w:kern w:val="0"/>
          <w:sz w:val="24"/>
          <w:szCs w:val="24"/>
          <w:lang w:bidi="ar"/>
        </w:rPr>
      </w:pPr>
    </w:p>
    <w:p w14:paraId="7D42AA06">
      <w:pPr>
        <w:widowControl/>
        <w:jc w:val="right"/>
        <w:rPr>
          <w:rFonts w:hint="eastAsia" w:ascii="宋体" w:hAnsi="宋体" w:cs="宋体"/>
          <w:color w:val="000000"/>
          <w:kern w:val="0"/>
          <w:sz w:val="24"/>
          <w:szCs w:val="24"/>
          <w:lang w:bidi="ar"/>
        </w:rPr>
      </w:pPr>
    </w:p>
    <w:p w14:paraId="01819BF3">
      <w:pPr>
        <w:widowControl/>
        <w:jc w:val="right"/>
        <w:rPr>
          <w:rFonts w:hint="eastAsia" w:ascii="宋体" w:hAnsi="宋体" w:cs="宋体"/>
          <w:color w:val="000000"/>
          <w:kern w:val="0"/>
          <w:sz w:val="24"/>
          <w:szCs w:val="24"/>
          <w:lang w:bidi="ar"/>
        </w:rPr>
      </w:pPr>
    </w:p>
    <w:p w14:paraId="64485ED1">
      <w:pPr>
        <w:widowControl/>
        <w:jc w:val="right"/>
        <w:rPr>
          <w:rFonts w:hint="eastAsia" w:ascii="宋体" w:hAnsi="宋体" w:cs="宋体"/>
          <w:color w:val="000000"/>
          <w:kern w:val="0"/>
          <w:sz w:val="24"/>
          <w:szCs w:val="24"/>
          <w:lang w:bidi="ar"/>
        </w:rPr>
      </w:pPr>
    </w:p>
    <w:p w14:paraId="476A51D7">
      <w:pPr>
        <w:widowControl/>
        <w:jc w:val="right"/>
        <w:rPr>
          <w:rFonts w:hint="eastAsia" w:ascii="宋体" w:hAnsi="宋体" w:cs="宋体"/>
          <w:color w:val="000000"/>
          <w:kern w:val="0"/>
          <w:sz w:val="24"/>
          <w:szCs w:val="24"/>
          <w:lang w:bidi="ar"/>
        </w:rPr>
      </w:pPr>
    </w:p>
    <w:p w14:paraId="54D28935">
      <w:pPr>
        <w:widowControl/>
        <w:spacing w:line="360" w:lineRule="auto"/>
        <w:jc w:val="right"/>
        <w:rPr>
          <w:rFonts w:hint="eastAsia" w:ascii="宋体" w:hAnsi="宋体" w:cs="宋体"/>
          <w:sz w:val="24"/>
          <w:szCs w:val="24"/>
        </w:rPr>
      </w:pPr>
      <w:r>
        <w:rPr>
          <w:rFonts w:hint="eastAsia" w:ascii="宋体" w:hAnsi="宋体" w:cs="宋体"/>
          <w:color w:val="000000"/>
          <w:kern w:val="0"/>
          <w:sz w:val="24"/>
          <w:szCs w:val="24"/>
          <w:lang w:bidi="ar"/>
        </w:rPr>
        <w:t xml:space="preserve">投标人名称（加盖公章）： ____________ </w:t>
      </w:r>
    </w:p>
    <w:p w14:paraId="2BE6A9DF">
      <w:pPr>
        <w:widowControl/>
        <w:spacing w:line="360" w:lineRule="auto"/>
        <w:jc w:val="right"/>
        <w:rPr>
          <w:rFonts w:hint="eastAsia" w:ascii="宋体" w:hAnsi="宋体" w:cs="宋体"/>
          <w:sz w:val="24"/>
          <w:szCs w:val="24"/>
        </w:rPr>
      </w:pPr>
      <w:r>
        <w:rPr>
          <w:rFonts w:hint="eastAsia" w:ascii="宋体" w:hAnsi="宋体" w:cs="宋体"/>
          <w:color w:val="000000"/>
          <w:kern w:val="0"/>
          <w:sz w:val="24"/>
          <w:szCs w:val="24"/>
          <w:lang w:bidi="ar"/>
        </w:rPr>
        <w:t xml:space="preserve">日期：_____年______月______日 </w:t>
      </w:r>
    </w:p>
    <w:p w14:paraId="4B0F8DE7">
      <w:pPr>
        <w:pStyle w:val="3"/>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说明：供应商承诺不实的，依据《政府采购法》第七十七条“提供虚假材料谋取中标、成交的”有关规定予以处理。</w:t>
      </w:r>
    </w:p>
    <w:p w14:paraId="2EC3B21B">
      <w:pPr>
        <w:autoSpaceDE w:val="0"/>
        <w:autoSpaceDN w:val="0"/>
        <w:adjustRightInd w:val="0"/>
        <w:spacing w:line="360" w:lineRule="auto"/>
        <w:jc w:val="center"/>
        <w:rPr>
          <w:rFonts w:hint="eastAsia" w:ascii="宋体" w:hAnsi="宋体" w:cs="宋体"/>
          <w:b/>
          <w:bCs/>
          <w:color w:val="000000"/>
          <w:sz w:val="28"/>
          <w:szCs w:val="28"/>
        </w:rPr>
      </w:pPr>
    </w:p>
    <w:p w14:paraId="249491D3">
      <w:pPr>
        <w:autoSpaceDE w:val="0"/>
        <w:autoSpaceDN w:val="0"/>
        <w:adjustRightInd w:val="0"/>
        <w:spacing w:line="360" w:lineRule="auto"/>
        <w:jc w:val="center"/>
        <w:rPr>
          <w:rFonts w:hint="eastAsia" w:ascii="宋体" w:hAnsi="宋体" w:cs="宋体"/>
          <w:b/>
          <w:bCs/>
          <w:color w:val="000000"/>
          <w:sz w:val="28"/>
          <w:szCs w:val="28"/>
        </w:rPr>
      </w:pPr>
    </w:p>
    <w:p w14:paraId="72AB0139">
      <w:pPr>
        <w:autoSpaceDE w:val="0"/>
        <w:autoSpaceDN w:val="0"/>
        <w:adjustRightInd w:val="0"/>
        <w:spacing w:line="360" w:lineRule="auto"/>
        <w:jc w:val="center"/>
        <w:rPr>
          <w:rFonts w:hint="eastAsia" w:ascii="宋体" w:hAnsi="宋体" w:cs="宋体"/>
          <w:b/>
          <w:bCs/>
          <w:color w:val="000000"/>
          <w:sz w:val="28"/>
          <w:szCs w:val="28"/>
        </w:rPr>
      </w:pPr>
    </w:p>
    <w:p w14:paraId="255AE30A">
      <w:pPr>
        <w:autoSpaceDE w:val="0"/>
        <w:autoSpaceDN w:val="0"/>
        <w:adjustRightInd w:val="0"/>
        <w:spacing w:line="360" w:lineRule="auto"/>
        <w:jc w:val="center"/>
        <w:rPr>
          <w:rFonts w:hint="eastAsia" w:ascii="宋体" w:hAnsi="宋体" w:cs="宋体"/>
          <w:b/>
          <w:bCs/>
          <w:color w:val="000000"/>
          <w:sz w:val="28"/>
          <w:szCs w:val="28"/>
        </w:rPr>
      </w:pPr>
    </w:p>
    <w:p w14:paraId="2AC4CFE0">
      <w:pPr>
        <w:autoSpaceDE w:val="0"/>
        <w:autoSpaceDN w:val="0"/>
        <w:adjustRightInd w:val="0"/>
        <w:spacing w:line="360" w:lineRule="auto"/>
        <w:jc w:val="center"/>
        <w:rPr>
          <w:rFonts w:hint="eastAsia" w:ascii="宋体" w:hAnsi="宋体" w:cs="宋体"/>
          <w:b/>
          <w:bCs/>
          <w:color w:val="000000"/>
          <w:sz w:val="28"/>
          <w:szCs w:val="28"/>
        </w:rPr>
      </w:pPr>
    </w:p>
    <w:p w14:paraId="5B6784AA">
      <w:pPr>
        <w:spacing w:after="240"/>
        <w:ind w:hanging="119"/>
        <w:jc w:val="center"/>
        <w:rPr>
          <w:rFonts w:hint="eastAsia" w:ascii="宋体" w:hAnsi="宋体" w:cs="宋体"/>
          <w:b/>
          <w:sz w:val="28"/>
          <w:szCs w:val="28"/>
        </w:rPr>
      </w:pPr>
      <w:r>
        <w:rPr>
          <w:rFonts w:hint="eastAsia" w:ascii="宋体" w:hAnsi="宋体" w:cs="宋体"/>
          <w:b/>
          <w:sz w:val="28"/>
          <w:szCs w:val="28"/>
        </w:rPr>
        <w:t>八、合同条款偏离表</w:t>
      </w:r>
    </w:p>
    <w:p w14:paraId="2D5941C1">
      <w:pPr>
        <w:autoSpaceDE w:val="0"/>
        <w:autoSpaceDN w:val="0"/>
        <w:adjustRightInd w:val="0"/>
        <w:ind w:firstLine="360" w:firstLineChars="150"/>
        <w:rPr>
          <w:rFonts w:hint="eastAsia" w:ascii="宋体" w:hAnsi="宋体" w:cs="宋体"/>
          <w:bCs/>
          <w:sz w:val="24"/>
          <w:szCs w:val="24"/>
          <w:lang w:val="zh-CN"/>
        </w:rPr>
      </w:pPr>
      <w:r>
        <w:rPr>
          <w:rFonts w:hint="eastAsia" w:ascii="宋体" w:hAnsi="宋体" w:cs="宋体"/>
          <w:bCs/>
          <w:sz w:val="24"/>
          <w:szCs w:val="24"/>
          <w:lang w:val="zh-CN"/>
        </w:rPr>
        <w:t xml:space="preserve">项目名称：                            </w:t>
      </w:r>
    </w:p>
    <w:p w14:paraId="543C5457">
      <w:pPr>
        <w:autoSpaceDE w:val="0"/>
        <w:autoSpaceDN w:val="0"/>
        <w:adjustRightInd w:val="0"/>
        <w:ind w:firstLine="360" w:firstLineChars="150"/>
        <w:rPr>
          <w:rFonts w:hint="eastAsia" w:ascii="宋体" w:hAnsi="宋体" w:cs="宋体"/>
          <w:bCs/>
          <w:sz w:val="24"/>
          <w:szCs w:val="24"/>
          <w:lang w:val="zh-CN"/>
        </w:rPr>
      </w:pPr>
      <w:r>
        <w:rPr>
          <w:rFonts w:hint="eastAsia" w:ascii="宋体" w:hAnsi="宋体" w:cs="宋体"/>
          <w:bCs/>
          <w:sz w:val="24"/>
          <w:szCs w:val="24"/>
          <w:lang w:val="zh-CN"/>
        </w:rPr>
        <w:t>项目编号：</w:t>
      </w:r>
    </w:p>
    <w:tbl>
      <w:tblPr>
        <w:tblStyle w:val="78"/>
        <w:tblW w:w="501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206"/>
        <w:gridCol w:w="2819"/>
        <w:gridCol w:w="2565"/>
        <w:gridCol w:w="1966"/>
        <w:gridCol w:w="1225"/>
      </w:tblGrid>
      <w:tr w14:paraId="2A404B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617" w:type="pct"/>
          </w:tcPr>
          <w:p w14:paraId="297C7588">
            <w:pPr>
              <w:spacing w:line="270" w:lineRule="auto"/>
              <w:jc w:val="center"/>
              <w:rPr>
                <w:rFonts w:hint="eastAsia" w:ascii="宋体" w:hAnsi="宋体" w:cs="宋体"/>
                <w:sz w:val="24"/>
                <w:szCs w:val="24"/>
              </w:rPr>
            </w:pPr>
          </w:p>
          <w:p w14:paraId="26B5B9C6">
            <w:pPr>
              <w:spacing w:before="78" w:line="222" w:lineRule="auto"/>
              <w:ind w:left="344"/>
              <w:rPr>
                <w:rFonts w:hint="eastAsia" w:ascii="宋体" w:hAnsi="宋体" w:cs="宋体"/>
                <w:sz w:val="24"/>
                <w:szCs w:val="24"/>
              </w:rPr>
            </w:pPr>
            <w:r>
              <w:rPr>
                <w:rFonts w:hint="eastAsia" w:ascii="宋体" w:hAnsi="宋体" w:cs="宋体"/>
                <w:spacing w:val="-3"/>
                <w:sz w:val="24"/>
                <w:szCs w:val="24"/>
              </w:rPr>
              <w:t>序</w:t>
            </w:r>
            <w:r>
              <w:rPr>
                <w:rFonts w:hint="eastAsia" w:ascii="宋体" w:hAnsi="宋体" w:cs="宋体"/>
                <w:spacing w:val="-2"/>
                <w:sz w:val="24"/>
                <w:szCs w:val="24"/>
              </w:rPr>
              <w:t>号</w:t>
            </w:r>
          </w:p>
        </w:tc>
        <w:tc>
          <w:tcPr>
            <w:tcW w:w="1441" w:type="pct"/>
          </w:tcPr>
          <w:p w14:paraId="24A4B2D4">
            <w:pPr>
              <w:spacing w:line="270" w:lineRule="auto"/>
              <w:jc w:val="center"/>
              <w:rPr>
                <w:rFonts w:hint="eastAsia" w:ascii="宋体" w:hAnsi="宋体" w:cs="宋体"/>
                <w:sz w:val="24"/>
                <w:szCs w:val="24"/>
              </w:rPr>
            </w:pPr>
          </w:p>
          <w:p w14:paraId="5D6D36F2">
            <w:pPr>
              <w:spacing w:before="78" w:line="220" w:lineRule="auto"/>
              <w:ind w:left="124"/>
              <w:jc w:val="center"/>
              <w:rPr>
                <w:rFonts w:hint="eastAsia" w:ascii="宋体" w:hAnsi="宋体" w:cs="宋体"/>
                <w:sz w:val="24"/>
                <w:szCs w:val="24"/>
              </w:rPr>
            </w:pPr>
            <w:r>
              <w:rPr>
                <w:rFonts w:hint="eastAsia" w:ascii="宋体" w:hAnsi="宋体" w:cs="宋体"/>
                <w:spacing w:val="-2"/>
                <w:sz w:val="24"/>
                <w:szCs w:val="24"/>
              </w:rPr>
              <w:t>竞争性磋商文</w:t>
            </w:r>
            <w:r>
              <w:rPr>
                <w:rFonts w:hint="eastAsia" w:ascii="宋体" w:hAnsi="宋体" w:cs="宋体"/>
                <w:spacing w:val="-1"/>
                <w:sz w:val="24"/>
                <w:szCs w:val="24"/>
              </w:rPr>
              <w:t>件要求</w:t>
            </w:r>
          </w:p>
        </w:tc>
        <w:tc>
          <w:tcPr>
            <w:tcW w:w="1311" w:type="pct"/>
          </w:tcPr>
          <w:p w14:paraId="41E1CA24">
            <w:pPr>
              <w:spacing w:line="270" w:lineRule="auto"/>
              <w:jc w:val="center"/>
              <w:rPr>
                <w:rFonts w:hint="eastAsia" w:ascii="宋体" w:hAnsi="宋体" w:cs="宋体"/>
                <w:sz w:val="24"/>
                <w:szCs w:val="24"/>
              </w:rPr>
            </w:pPr>
          </w:p>
          <w:p w14:paraId="0E1493F5">
            <w:pPr>
              <w:spacing w:before="78" w:line="220" w:lineRule="auto"/>
              <w:ind w:left="127"/>
              <w:jc w:val="center"/>
              <w:rPr>
                <w:rFonts w:hint="eastAsia" w:ascii="宋体" w:hAnsi="宋体" w:cs="宋体"/>
                <w:sz w:val="24"/>
                <w:szCs w:val="24"/>
              </w:rPr>
            </w:pPr>
            <w:r>
              <w:rPr>
                <w:rFonts w:hint="eastAsia" w:ascii="宋体" w:hAnsi="宋体" w:cs="宋体"/>
                <w:spacing w:val="-2"/>
                <w:sz w:val="24"/>
                <w:szCs w:val="24"/>
              </w:rPr>
              <w:t>响应文件内</w:t>
            </w:r>
            <w:r>
              <w:rPr>
                <w:rFonts w:hint="eastAsia" w:ascii="宋体" w:hAnsi="宋体" w:cs="宋体"/>
                <w:spacing w:val="-1"/>
                <w:sz w:val="24"/>
                <w:szCs w:val="24"/>
              </w:rPr>
              <w:t>容</w:t>
            </w:r>
          </w:p>
        </w:tc>
        <w:tc>
          <w:tcPr>
            <w:tcW w:w="1005" w:type="pct"/>
          </w:tcPr>
          <w:p w14:paraId="467CDF6B">
            <w:pPr>
              <w:spacing w:line="270" w:lineRule="auto"/>
              <w:jc w:val="center"/>
              <w:rPr>
                <w:rFonts w:hint="eastAsia" w:ascii="宋体" w:hAnsi="宋体" w:cs="宋体"/>
                <w:sz w:val="24"/>
                <w:szCs w:val="24"/>
              </w:rPr>
            </w:pPr>
          </w:p>
          <w:p w14:paraId="3F93D54D">
            <w:pPr>
              <w:spacing w:before="78" w:line="220" w:lineRule="auto"/>
              <w:ind w:left="465"/>
              <w:rPr>
                <w:rFonts w:hint="eastAsia" w:ascii="宋体" w:hAnsi="宋体" w:cs="宋体"/>
                <w:sz w:val="24"/>
                <w:szCs w:val="24"/>
              </w:rPr>
            </w:pPr>
            <w:r>
              <w:rPr>
                <w:rFonts w:hint="eastAsia" w:ascii="宋体" w:hAnsi="宋体" w:cs="宋体"/>
                <w:spacing w:val="-2"/>
                <w:sz w:val="24"/>
                <w:szCs w:val="24"/>
              </w:rPr>
              <w:t>偏离情</w:t>
            </w:r>
            <w:r>
              <w:rPr>
                <w:rFonts w:hint="eastAsia" w:ascii="宋体" w:hAnsi="宋体" w:cs="宋体"/>
                <w:spacing w:val="-1"/>
                <w:sz w:val="24"/>
                <w:szCs w:val="24"/>
              </w:rPr>
              <w:t>况</w:t>
            </w:r>
          </w:p>
        </w:tc>
        <w:tc>
          <w:tcPr>
            <w:tcW w:w="623" w:type="pct"/>
          </w:tcPr>
          <w:p w14:paraId="256AC51D">
            <w:pPr>
              <w:spacing w:line="270" w:lineRule="auto"/>
              <w:jc w:val="center"/>
              <w:rPr>
                <w:rFonts w:hint="eastAsia" w:ascii="宋体" w:hAnsi="宋体" w:cs="宋体"/>
                <w:sz w:val="24"/>
                <w:szCs w:val="24"/>
              </w:rPr>
            </w:pPr>
          </w:p>
          <w:p w14:paraId="0C18B0B8">
            <w:pPr>
              <w:spacing w:before="78" w:line="220" w:lineRule="auto"/>
              <w:ind w:left="336"/>
              <w:rPr>
                <w:rFonts w:hint="eastAsia" w:ascii="宋体" w:hAnsi="宋体" w:cs="宋体"/>
                <w:sz w:val="24"/>
                <w:szCs w:val="24"/>
              </w:rPr>
            </w:pPr>
            <w:r>
              <w:rPr>
                <w:rFonts w:hint="eastAsia" w:ascii="宋体" w:hAnsi="宋体" w:cs="宋体"/>
                <w:spacing w:val="-4"/>
                <w:sz w:val="24"/>
                <w:szCs w:val="24"/>
              </w:rPr>
              <w:t>说</w:t>
            </w:r>
            <w:r>
              <w:rPr>
                <w:rFonts w:hint="eastAsia" w:ascii="宋体" w:hAnsi="宋体" w:cs="宋体"/>
                <w:spacing w:val="-3"/>
                <w:sz w:val="24"/>
                <w:szCs w:val="24"/>
              </w:rPr>
              <w:t>明</w:t>
            </w:r>
          </w:p>
        </w:tc>
      </w:tr>
      <w:tr w14:paraId="7F8F2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3" w:hRule="atLeast"/>
        </w:trPr>
        <w:tc>
          <w:tcPr>
            <w:tcW w:w="5000" w:type="pct"/>
            <w:gridSpan w:val="5"/>
          </w:tcPr>
          <w:p w14:paraId="7FA6D478">
            <w:pPr>
              <w:spacing w:before="38" w:line="190" w:lineRule="auto"/>
              <w:ind w:left="116"/>
              <w:rPr>
                <w:rFonts w:hint="eastAsia" w:ascii="宋体" w:hAnsi="宋体" w:cs="宋体"/>
                <w:sz w:val="24"/>
                <w:szCs w:val="24"/>
              </w:rPr>
            </w:pPr>
            <w:r>
              <w:rPr>
                <w:rFonts w:hint="eastAsia" w:ascii="宋体" w:hAnsi="宋体" w:cs="宋体"/>
                <w:spacing w:val="9"/>
                <w:sz w:val="24"/>
                <w:szCs w:val="24"/>
              </w:rPr>
              <w:t>对本项目合同条款的偏离情况 (应进行选择，未选择投标无效)</w:t>
            </w:r>
            <w:r>
              <w:rPr>
                <w:rFonts w:hint="eastAsia" w:ascii="宋体" w:hAnsi="宋体" w:cs="宋体"/>
                <w:spacing w:val="4"/>
                <w:sz w:val="24"/>
                <w:szCs w:val="24"/>
              </w:rPr>
              <w:t>：</w:t>
            </w:r>
          </w:p>
          <w:p w14:paraId="3E3209FD">
            <w:pPr>
              <w:spacing w:before="1" w:line="249" w:lineRule="auto"/>
              <w:ind w:left="118" w:right="106" w:firstLine="11"/>
              <w:rPr>
                <w:rFonts w:hint="eastAsia" w:ascii="宋体" w:hAnsi="宋体" w:cs="宋体"/>
                <w:sz w:val="24"/>
                <w:szCs w:val="24"/>
              </w:rPr>
            </w:pPr>
            <w:r>
              <w:rPr>
                <w:rFonts w:hint="eastAsia" w:ascii="宋体" w:hAnsi="宋体" w:cs="宋体"/>
                <w:b/>
                <w:bCs/>
                <w:spacing w:val="2"/>
                <w:sz w:val="24"/>
                <w:szCs w:val="24"/>
              </w:rPr>
              <w:t>□</w:t>
            </w:r>
            <w:r>
              <w:rPr>
                <w:rFonts w:hint="eastAsia" w:ascii="宋体" w:hAnsi="宋体" w:cs="宋体"/>
                <w:spacing w:val="2"/>
                <w:sz w:val="24"/>
                <w:szCs w:val="24"/>
              </w:rPr>
              <w:t>无偏离 (如无偏离，仅选择</w:t>
            </w:r>
            <w:r>
              <w:rPr>
                <w:rFonts w:hint="eastAsia" w:ascii="宋体" w:hAnsi="宋体" w:cs="宋体"/>
                <w:spacing w:val="1"/>
                <w:sz w:val="24"/>
                <w:szCs w:val="24"/>
              </w:rPr>
              <w:t>无偏离即可；无偏离即为对合同条款中的所有要求，均视</w:t>
            </w:r>
            <w:r>
              <w:rPr>
                <w:rFonts w:hint="eastAsia" w:ascii="宋体" w:hAnsi="宋体" w:cs="宋体"/>
                <w:spacing w:val="-1"/>
                <w:sz w:val="24"/>
                <w:szCs w:val="24"/>
              </w:rPr>
              <w:t>作供应商已对之理解和响应</w:t>
            </w:r>
            <w:r>
              <w:rPr>
                <w:rFonts w:hint="eastAsia" w:ascii="宋体" w:hAnsi="宋体" w:cs="宋体"/>
                <w:sz w:val="24"/>
                <w:szCs w:val="24"/>
              </w:rPr>
              <w:t>。)</w:t>
            </w:r>
          </w:p>
          <w:p w14:paraId="20B5F545">
            <w:pPr>
              <w:spacing w:line="266" w:lineRule="auto"/>
              <w:ind w:left="137" w:right="107" w:hanging="7"/>
              <w:rPr>
                <w:rFonts w:hint="eastAsia" w:ascii="宋体" w:hAnsi="宋体" w:cs="宋体"/>
                <w:sz w:val="24"/>
                <w:szCs w:val="24"/>
              </w:rPr>
            </w:pPr>
            <w:r>
              <w:rPr>
                <w:rFonts w:hint="eastAsia" w:ascii="宋体" w:hAnsi="宋体" w:cs="宋体"/>
                <w:b/>
                <w:bCs/>
                <w:spacing w:val="8"/>
                <w:sz w:val="24"/>
                <w:szCs w:val="24"/>
              </w:rPr>
              <w:t>□</w:t>
            </w:r>
            <w:r>
              <w:rPr>
                <w:rFonts w:hint="eastAsia" w:ascii="宋体" w:hAnsi="宋体" w:cs="宋体"/>
                <w:spacing w:val="7"/>
                <w:sz w:val="24"/>
                <w:szCs w:val="24"/>
              </w:rPr>
              <w:t>有</w:t>
            </w:r>
            <w:r>
              <w:rPr>
                <w:rFonts w:hint="eastAsia" w:ascii="宋体" w:hAnsi="宋体" w:cs="宋体"/>
                <w:spacing w:val="4"/>
                <w:sz w:val="24"/>
                <w:szCs w:val="24"/>
              </w:rPr>
              <w:t>偏离 (如有偏离，则应在本表中对偏离项逐一列明，否则投标无效；对合同条款中</w:t>
            </w:r>
            <w:r>
              <w:rPr>
                <w:rFonts w:hint="eastAsia" w:ascii="宋体" w:hAnsi="宋体" w:cs="宋体"/>
                <w:spacing w:val="8"/>
                <w:sz w:val="24"/>
                <w:szCs w:val="24"/>
              </w:rPr>
              <w:t>的所有要求</w:t>
            </w:r>
            <w:r>
              <w:rPr>
                <w:rFonts w:hint="eastAsia" w:ascii="宋体" w:hAnsi="宋体" w:cs="宋体"/>
                <w:spacing w:val="6"/>
                <w:sz w:val="24"/>
                <w:szCs w:val="24"/>
              </w:rPr>
              <w:t>，</w:t>
            </w:r>
            <w:r>
              <w:rPr>
                <w:rFonts w:hint="eastAsia" w:ascii="宋体" w:hAnsi="宋体" w:cs="宋体"/>
                <w:spacing w:val="4"/>
                <w:sz w:val="24"/>
                <w:szCs w:val="24"/>
              </w:rPr>
              <w:t>除本表列明的偏离外，均视作供应商已对之理解和响应。)</w:t>
            </w:r>
          </w:p>
        </w:tc>
      </w:tr>
      <w:tr w14:paraId="20475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17" w:type="pct"/>
          </w:tcPr>
          <w:p w14:paraId="30F3A00D">
            <w:pPr>
              <w:rPr>
                <w:rFonts w:hint="eastAsia" w:ascii="宋体" w:hAnsi="宋体" w:cs="宋体"/>
                <w:sz w:val="24"/>
                <w:szCs w:val="24"/>
              </w:rPr>
            </w:pPr>
          </w:p>
        </w:tc>
        <w:tc>
          <w:tcPr>
            <w:tcW w:w="1441" w:type="pct"/>
          </w:tcPr>
          <w:p w14:paraId="0D4FF2B6">
            <w:pPr>
              <w:rPr>
                <w:rFonts w:hint="eastAsia" w:ascii="宋体" w:hAnsi="宋体" w:cs="宋体"/>
                <w:sz w:val="24"/>
                <w:szCs w:val="24"/>
              </w:rPr>
            </w:pPr>
          </w:p>
        </w:tc>
        <w:tc>
          <w:tcPr>
            <w:tcW w:w="1311" w:type="pct"/>
          </w:tcPr>
          <w:p w14:paraId="4F1ED761">
            <w:pPr>
              <w:rPr>
                <w:rFonts w:hint="eastAsia" w:ascii="宋体" w:hAnsi="宋体" w:cs="宋体"/>
                <w:sz w:val="24"/>
                <w:szCs w:val="24"/>
              </w:rPr>
            </w:pPr>
          </w:p>
        </w:tc>
        <w:tc>
          <w:tcPr>
            <w:tcW w:w="1005" w:type="pct"/>
          </w:tcPr>
          <w:p w14:paraId="6D3984F8">
            <w:pPr>
              <w:rPr>
                <w:rFonts w:hint="eastAsia" w:ascii="宋体" w:hAnsi="宋体" w:cs="宋体"/>
                <w:sz w:val="24"/>
                <w:szCs w:val="24"/>
              </w:rPr>
            </w:pPr>
          </w:p>
        </w:tc>
        <w:tc>
          <w:tcPr>
            <w:tcW w:w="623" w:type="pct"/>
          </w:tcPr>
          <w:p w14:paraId="52AF0B0A">
            <w:pPr>
              <w:rPr>
                <w:rFonts w:hint="eastAsia" w:ascii="宋体" w:hAnsi="宋体" w:cs="宋体"/>
                <w:sz w:val="24"/>
                <w:szCs w:val="24"/>
              </w:rPr>
            </w:pPr>
          </w:p>
        </w:tc>
      </w:tr>
      <w:tr w14:paraId="1D605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17" w:type="pct"/>
          </w:tcPr>
          <w:p w14:paraId="6CBAE462">
            <w:pPr>
              <w:rPr>
                <w:rFonts w:hint="eastAsia" w:ascii="宋体" w:hAnsi="宋体" w:cs="宋体"/>
                <w:sz w:val="24"/>
                <w:szCs w:val="24"/>
              </w:rPr>
            </w:pPr>
          </w:p>
        </w:tc>
        <w:tc>
          <w:tcPr>
            <w:tcW w:w="1441" w:type="pct"/>
          </w:tcPr>
          <w:p w14:paraId="58D882C1">
            <w:pPr>
              <w:rPr>
                <w:rFonts w:hint="eastAsia" w:ascii="宋体" w:hAnsi="宋体" w:cs="宋体"/>
                <w:sz w:val="24"/>
                <w:szCs w:val="24"/>
              </w:rPr>
            </w:pPr>
          </w:p>
        </w:tc>
        <w:tc>
          <w:tcPr>
            <w:tcW w:w="1311" w:type="pct"/>
          </w:tcPr>
          <w:p w14:paraId="051D0966">
            <w:pPr>
              <w:rPr>
                <w:rFonts w:hint="eastAsia" w:ascii="宋体" w:hAnsi="宋体" w:cs="宋体"/>
                <w:sz w:val="24"/>
                <w:szCs w:val="24"/>
              </w:rPr>
            </w:pPr>
          </w:p>
        </w:tc>
        <w:tc>
          <w:tcPr>
            <w:tcW w:w="1005" w:type="pct"/>
          </w:tcPr>
          <w:p w14:paraId="45FE3504">
            <w:pPr>
              <w:rPr>
                <w:rFonts w:hint="eastAsia" w:ascii="宋体" w:hAnsi="宋体" w:cs="宋体"/>
                <w:sz w:val="24"/>
                <w:szCs w:val="24"/>
              </w:rPr>
            </w:pPr>
          </w:p>
        </w:tc>
        <w:tc>
          <w:tcPr>
            <w:tcW w:w="623" w:type="pct"/>
          </w:tcPr>
          <w:p w14:paraId="4444C5AD">
            <w:pPr>
              <w:rPr>
                <w:rFonts w:hint="eastAsia" w:ascii="宋体" w:hAnsi="宋体" w:cs="宋体"/>
                <w:sz w:val="24"/>
                <w:szCs w:val="24"/>
              </w:rPr>
            </w:pPr>
          </w:p>
        </w:tc>
      </w:tr>
      <w:tr w14:paraId="44313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617" w:type="pct"/>
          </w:tcPr>
          <w:p w14:paraId="13A67166">
            <w:pPr>
              <w:rPr>
                <w:rFonts w:hint="eastAsia" w:ascii="宋体" w:hAnsi="宋体" w:cs="宋体"/>
                <w:sz w:val="24"/>
                <w:szCs w:val="24"/>
              </w:rPr>
            </w:pPr>
          </w:p>
        </w:tc>
        <w:tc>
          <w:tcPr>
            <w:tcW w:w="1441" w:type="pct"/>
          </w:tcPr>
          <w:p w14:paraId="7359081B">
            <w:pPr>
              <w:rPr>
                <w:rFonts w:hint="eastAsia" w:ascii="宋体" w:hAnsi="宋体" w:cs="宋体"/>
                <w:sz w:val="24"/>
                <w:szCs w:val="24"/>
              </w:rPr>
            </w:pPr>
          </w:p>
        </w:tc>
        <w:tc>
          <w:tcPr>
            <w:tcW w:w="1311" w:type="pct"/>
          </w:tcPr>
          <w:p w14:paraId="3998DA89">
            <w:pPr>
              <w:rPr>
                <w:rFonts w:hint="eastAsia" w:ascii="宋体" w:hAnsi="宋体" w:cs="宋体"/>
                <w:sz w:val="24"/>
                <w:szCs w:val="24"/>
              </w:rPr>
            </w:pPr>
          </w:p>
        </w:tc>
        <w:tc>
          <w:tcPr>
            <w:tcW w:w="1005" w:type="pct"/>
          </w:tcPr>
          <w:p w14:paraId="380494CF">
            <w:pPr>
              <w:rPr>
                <w:rFonts w:hint="eastAsia" w:ascii="宋体" w:hAnsi="宋体" w:cs="宋体"/>
                <w:sz w:val="24"/>
                <w:szCs w:val="24"/>
              </w:rPr>
            </w:pPr>
          </w:p>
        </w:tc>
        <w:tc>
          <w:tcPr>
            <w:tcW w:w="623" w:type="pct"/>
          </w:tcPr>
          <w:p w14:paraId="22CD9747">
            <w:pPr>
              <w:rPr>
                <w:rFonts w:hint="eastAsia" w:ascii="宋体" w:hAnsi="宋体" w:cs="宋体"/>
                <w:sz w:val="24"/>
                <w:szCs w:val="24"/>
              </w:rPr>
            </w:pPr>
          </w:p>
        </w:tc>
      </w:tr>
      <w:tr w14:paraId="1D0E6A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617" w:type="pct"/>
          </w:tcPr>
          <w:p w14:paraId="2FEF00E5">
            <w:pPr>
              <w:rPr>
                <w:rFonts w:hint="eastAsia" w:ascii="宋体" w:hAnsi="宋体" w:cs="宋体"/>
                <w:sz w:val="24"/>
                <w:szCs w:val="24"/>
              </w:rPr>
            </w:pPr>
          </w:p>
        </w:tc>
        <w:tc>
          <w:tcPr>
            <w:tcW w:w="1441" w:type="pct"/>
          </w:tcPr>
          <w:p w14:paraId="7F020AF5">
            <w:pPr>
              <w:rPr>
                <w:rFonts w:hint="eastAsia" w:ascii="宋体" w:hAnsi="宋体" w:cs="宋体"/>
                <w:sz w:val="24"/>
                <w:szCs w:val="24"/>
              </w:rPr>
            </w:pPr>
          </w:p>
        </w:tc>
        <w:tc>
          <w:tcPr>
            <w:tcW w:w="1311" w:type="pct"/>
          </w:tcPr>
          <w:p w14:paraId="0C6B5AEF">
            <w:pPr>
              <w:rPr>
                <w:rFonts w:hint="eastAsia" w:ascii="宋体" w:hAnsi="宋体" w:cs="宋体"/>
                <w:sz w:val="24"/>
                <w:szCs w:val="24"/>
              </w:rPr>
            </w:pPr>
          </w:p>
        </w:tc>
        <w:tc>
          <w:tcPr>
            <w:tcW w:w="1005" w:type="pct"/>
          </w:tcPr>
          <w:p w14:paraId="0D8C351B">
            <w:pPr>
              <w:rPr>
                <w:rFonts w:hint="eastAsia" w:ascii="宋体" w:hAnsi="宋体" w:cs="宋体"/>
                <w:sz w:val="24"/>
                <w:szCs w:val="24"/>
              </w:rPr>
            </w:pPr>
          </w:p>
        </w:tc>
        <w:tc>
          <w:tcPr>
            <w:tcW w:w="623" w:type="pct"/>
          </w:tcPr>
          <w:p w14:paraId="56DDFBB6">
            <w:pPr>
              <w:rPr>
                <w:rFonts w:hint="eastAsia" w:ascii="宋体" w:hAnsi="宋体" w:cs="宋体"/>
                <w:sz w:val="24"/>
                <w:szCs w:val="24"/>
              </w:rPr>
            </w:pPr>
          </w:p>
        </w:tc>
      </w:tr>
    </w:tbl>
    <w:p w14:paraId="4D086FDC">
      <w:pPr>
        <w:autoSpaceDE w:val="0"/>
        <w:autoSpaceDN w:val="0"/>
        <w:adjustRightInd w:val="0"/>
        <w:snapToGrid w:val="0"/>
        <w:spacing w:line="360" w:lineRule="auto"/>
        <w:jc w:val="left"/>
        <w:rPr>
          <w:rFonts w:hint="eastAsia" w:ascii="宋体" w:hAnsi="宋体" w:cs="宋体"/>
          <w:sz w:val="24"/>
          <w:szCs w:val="24"/>
        </w:rPr>
      </w:pPr>
      <w:r>
        <w:rPr>
          <w:rFonts w:hint="eastAsia" w:ascii="宋体" w:hAnsi="宋体" w:cs="宋体"/>
          <w:sz w:val="24"/>
          <w:szCs w:val="24"/>
        </w:rPr>
        <w:t>说明：1.偏离情况项填写“正偏离”、“负偏离”，说明项中填写原因。</w:t>
      </w:r>
    </w:p>
    <w:p w14:paraId="57B828A8">
      <w:pPr>
        <w:pStyle w:val="10"/>
        <w:snapToGrid w:val="0"/>
        <w:spacing w:line="360" w:lineRule="auto"/>
        <w:jc w:val="left"/>
        <w:rPr>
          <w:rFonts w:hint="eastAsia" w:hAnsi="宋体" w:cs="宋体"/>
          <w:sz w:val="24"/>
          <w:szCs w:val="24"/>
          <w:lang w:val="zh-CN"/>
        </w:rPr>
      </w:pPr>
      <w:r>
        <w:rPr>
          <w:rFonts w:hint="eastAsia" w:hAnsi="宋体" w:cs="宋体"/>
          <w:sz w:val="24"/>
          <w:szCs w:val="24"/>
        </w:rPr>
        <w:t>2.投标人必须据实填写，不得虚假响应，否则将取消其投标或中标资格，并按有关规定进处罚。</w:t>
      </w:r>
    </w:p>
    <w:p w14:paraId="4EFC97C9">
      <w:pPr>
        <w:pStyle w:val="10"/>
        <w:spacing w:line="480" w:lineRule="auto"/>
        <w:rPr>
          <w:rFonts w:hint="eastAsia" w:hAnsi="宋体" w:cs="宋体"/>
          <w:sz w:val="24"/>
          <w:szCs w:val="24"/>
          <w:u w:val="single"/>
        </w:rPr>
      </w:pPr>
      <w:r>
        <w:rPr>
          <w:rFonts w:hint="eastAsia" w:hAnsi="宋体" w:cs="宋体"/>
          <w:sz w:val="24"/>
          <w:szCs w:val="24"/>
          <w:lang w:val="zh-CN"/>
        </w:rPr>
        <w:t>投标人名称</w:t>
      </w:r>
      <w:r>
        <w:rPr>
          <w:rFonts w:hint="eastAsia" w:hAnsi="宋体" w:cs="宋体"/>
          <w:spacing w:val="-3"/>
          <w:sz w:val="24"/>
          <w:szCs w:val="24"/>
        </w:rPr>
        <w:t>(加盖公章)</w:t>
      </w:r>
      <w:r>
        <w:rPr>
          <w:rFonts w:hint="eastAsia" w:hAnsi="宋体" w:cs="宋体"/>
          <w:sz w:val="24"/>
          <w:szCs w:val="24"/>
          <w:lang w:val="zh-CN"/>
        </w:rPr>
        <w:t>：</w:t>
      </w:r>
      <w:r>
        <w:rPr>
          <w:rFonts w:hint="eastAsia" w:hAnsi="宋体" w:cs="宋体"/>
          <w:sz w:val="24"/>
          <w:szCs w:val="24"/>
          <w:u w:val="single"/>
          <w:lang w:val="zh-CN"/>
        </w:rPr>
        <w:t xml:space="preserve">     </w:t>
      </w:r>
      <w:r>
        <w:rPr>
          <w:rFonts w:hint="eastAsia" w:hAnsi="宋体" w:cs="宋体"/>
          <w:sz w:val="24"/>
          <w:szCs w:val="24"/>
          <w:u w:val="single"/>
        </w:rPr>
        <w:t xml:space="preserve">              </w:t>
      </w:r>
    </w:p>
    <w:p w14:paraId="4B57E34B">
      <w:pPr>
        <w:pStyle w:val="10"/>
        <w:spacing w:line="480" w:lineRule="auto"/>
        <w:rPr>
          <w:rFonts w:hint="eastAsia" w:hAnsi="宋体" w:cs="宋体"/>
          <w:sz w:val="24"/>
          <w:szCs w:val="24"/>
          <w:u w:val="single"/>
        </w:rPr>
      </w:pPr>
      <w:r>
        <w:rPr>
          <w:rFonts w:hint="eastAsia" w:hAnsi="宋体" w:cs="宋体"/>
          <w:sz w:val="24"/>
          <w:szCs w:val="24"/>
          <w:lang w:val="zh-CN"/>
        </w:rPr>
        <w:t>法定代表人或授权代理人（盖章或签字）：</w:t>
      </w:r>
    </w:p>
    <w:p w14:paraId="05B795F5">
      <w:pPr>
        <w:pStyle w:val="10"/>
        <w:spacing w:line="480" w:lineRule="auto"/>
        <w:rPr>
          <w:rFonts w:hint="eastAsia" w:hAnsi="宋体" w:cs="宋体"/>
          <w:sz w:val="24"/>
          <w:szCs w:val="24"/>
        </w:rPr>
      </w:pPr>
      <w:r>
        <w:rPr>
          <w:rFonts w:hint="eastAsia" w:hAnsi="宋体" w:cs="宋体"/>
          <w:sz w:val="24"/>
          <w:szCs w:val="24"/>
          <w:lang w:val="zh-CN"/>
        </w:rPr>
        <w:t>日 期：</w:t>
      </w:r>
      <w:r>
        <w:rPr>
          <w:rFonts w:hint="eastAsia" w:hAnsi="宋体" w:cs="宋体"/>
          <w:sz w:val="24"/>
          <w:szCs w:val="24"/>
          <w:u w:val="single"/>
        </w:rPr>
        <w:t xml:space="preserve">                                </w:t>
      </w:r>
    </w:p>
    <w:p w14:paraId="6F008615">
      <w:pPr>
        <w:autoSpaceDE w:val="0"/>
        <w:autoSpaceDN w:val="0"/>
        <w:adjustRightInd w:val="0"/>
        <w:spacing w:line="360" w:lineRule="auto"/>
        <w:jc w:val="center"/>
        <w:rPr>
          <w:rFonts w:hint="eastAsia" w:ascii="宋体" w:hAnsi="宋体" w:cs="宋体"/>
          <w:b/>
          <w:bCs/>
          <w:color w:val="000000"/>
          <w:sz w:val="28"/>
          <w:szCs w:val="28"/>
        </w:rPr>
      </w:pPr>
    </w:p>
    <w:p w14:paraId="0224C8AC">
      <w:pPr>
        <w:autoSpaceDE w:val="0"/>
        <w:autoSpaceDN w:val="0"/>
        <w:adjustRightInd w:val="0"/>
        <w:spacing w:line="360" w:lineRule="auto"/>
        <w:jc w:val="center"/>
        <w:rPr>
          <w:rFonts w:hint="eastAsia" w:ascii="宋体" w:hAnsi="宋体" w:cs="宋体"/>
          <w:b/>
          <w:bCs/>
          <w:color w:val="000000"/>
          <w:sz w:val="28"/>
          <w:szCs w:val="28"/>
        </w:rPr>
      </w:pPr>
    </w:p>
    <w:p w14:paraId="58331778">
      <w:pPr>
        <w:autoSpaceDE w:val="0"/>
        <w:autoSpaceDN w:val="0"/>
        <w:adjustRightInd w:val="0"/>
        <w:spacing w:line="360" w:lineRule="auto"/>
        <w:jc w:val="center"/>
        <w:rPr>
          <w:rFonts w:hint="eastAsia" w:ascii="宋体" w:hAnsi="宋体" w:cs="宋体"/>
          <w:b/>
          <w:bCs/>
          <w:color w:val="000000"/>
          <w:sz w:val="28"/>
          <w:szCs w:val="28"/>
        </w:rPr>
      </w:pPr>
    </w:p>
    <w:p w14:paraId="3B183E26">
      <w:pPr>
        <w:autoSpaceDE w:val="0"/>
        <w:autoSpaceDN w:val="0"/>
        <w:adjustRightInd w:val="0"/>
        <w:spacing w:line="360" w:lineRule="auto"/>
        <w:jc w:val="center"/>
        <w:rPr>
          <w:rFonts w:hint="eastAsia" w:ascii="宋体" w:hAnsi="宋体" w:cs="宋体"/>
          <w:b/>
          <w:bCs/>
          <w:color w:val="000000"/>
          <w:sz w:val="28"/>
          <w:szCs w:val="28"/>
        </w:rPr>
      </w:pPr>
    </w:p>
    <w:p w14:paraId="2C150355">
      <w:pPr>
        <w:autoSpaceDE w:val="0"/>
        <w:autoSpaceDN w:val="0"/>
        <w:adjustRightInd w:val="0"/>
        <w:spacing w:line="360" w:lineRule="auto"/>
        <w:jc w:val="center"/>
        <w:rPr>
          <w:rFonts w:hint="eastAsia" w:ascii="宋体" w:hAnsi="宋体" w:cs="宋体"/>
          <w:b/>
          <w:bCs/>
          <w:color w:val="000000"/>
          <w:sz w:val="28"/>
          <w:szCs w:val="28"/>
        </w:rPr>
      </w:pPr>
    </w:p>
    <w:p w14:paraId="3D2DB151">
      <w:pPr>
        <w:autoSpaceDE w:val="0"/>
        <w:autoSpaceDN w:val="0"/>
        <w:adjustRightInd w:val="0"/>
        <w:spacing w:line="360" w:lineRule="auto"/>
        <w:jc w:val="center"/>
        <w:rPr>
          <w:rFonts w:hint="eastAsia" w:ascii="宋体" w:hAnsi="宋体" w:cs="宋体"/>
          <w:b/>
          <w:bCs/>
          <w:color w:val="000000"/>
          <w:sz w:val="28"/>
          <w:szCs w:val="28"/>
        </w:rPr>
      </w:pPr>
    </w:p>
    <w:p w14:paraId="1CF8374F">
      <w:pPr>
        <w:autoSpaceDE w:val="0"/>
        <w:autoSpaceDN w:val="0"/>
        <w:adjustRightInd w:val="0"/>
        <w:jc w:val="center"/>
        <w:rPr>
          <w:rFonts w:hint="eastAsia" w:ascii="宋体" w:hAnsi="宋体" w:cs="宋体"/>
          <w:b/>
          <w:bCs/>
          <w:color w:val="000000"/>
          <w:szCs w:val="21"/>
          <w:lang w:val="zh-CN"/>
        </w:rPr>
      </w:pPr>
      <w:r>
        <w:rPr>
          <w:rFonts w:ascii="宋体" w:hAnsi="宋体" w:cs="宋体"/>
          <w:color w:val="000000"/>
          <w:szCs w:val="21"/>
          <w:u w:val="single"/>
        </w:rPr>
        <w:br w:type="page"/>
      </w:r>
    </w:p>
    <w:p w14:paraId="796EA517">
      <w:pPr>
        <w:autoSpaceDE w:val="0"/>
        <w:autoSpaceDN w:val="0"/>
        <w:adjustRightInd w:val="0"/>
        <w:rPr>
          <w:rFonts w:hint="eastAsia" w:ascii="宋体" w:hAnsi="宋体" w:cs="宋体"/>
          <w:bCs/>
          <w:color w:val="000000"/>
          <w:szCs w:val="21"/>
          <w:lang w:val="zh-CN"/>
        </w:rPr>
        <w:sectPr>
          <w:headerReference r:id="rId18" w:type="default"/>
          <w:footerReference r:id="rId19" w:type="default"/>
          <w:pgSz w:w="11906" w:h="16838"/>
          <w:pgMar w:top="1440" w:right="1080" w:bottom="1440" w:left="1080" w:header="851" w:footer="737" w:gutter="0"/>
          <w:cols w:space="720" w:num="1"/>
          <w:titlePg/>
          <w:docGrid w:linePitch="490" w:charSpace="0"/>
        </w:sectPr>
      </w:pPr>
    </w:p>
    <w:p w14:paraId="24C069EE">
      <w:pPr>
        <w:jc w:val="center"/>
        <w:rPr>
          <w:rFonts w:hint="eastAsia" w:ascii="宋体" w:hAnsi="宋体" w:cs="宋体"/>
          <w:b/>
          <w:bCs/>
          <w:color w:val="000000"/>
          <w:sz w:val="28"/>
          <w:szCs w:val="28"/>
          <w:lang w:val="zh-CN"/>
        </w:rPr>
      </w:pPr>
      <w:bookmarkStart w:id="42" w:name="_Toc232950476"/>
      <w:r>
        <w:rPr>
          <w:rFonts w:hint="eastAsia" w:ascii="宋体" w:hAnsi="宋体" w:cs="宋体"/>
          <w:b/>
          <w:bCs/>
          <w:color w:val="000000"/>
          <w:sz w:val="28"/>
          <w:szCs w:val="28"/>
        </w:rPr>
        <w:t>九、</w:t>
      </w:r>
      <w:r>
        <w:rPr>
          <w:rFonts w:hint="eastAsia" w:ascii="宋体" w:hAnsi="宋体" w:cs="宋体"/>
          <w:b/>
          <w:bCs/>
          <w:color w:val="000000"/>
          <w:sz w:val="28"/>
          <w:szCs w:val="28"/>
          <w:lang w:val="zh-CN"/>
        </w:rPr>
        <w:t>招标文件要求或投标人认为有必要提交的其他</w:t>
      </w:r>
      <w:r>
        <w:rPr>
          <w:rFonts w:hint="eastAsia" w:ascii="宋体" w:hAnsi="宋体" w:cs="宋体"/>
          <w:b/>
          <w:bCs/>
          <w:color w:val="000000"/>
          <w:sz w:val="28"/>
          <w:szCs w:val="28"/>
        </w:rPr>
        <w:t>证明</w:t>
      </w:r>
      <w:r>
        <w:rPr>
          <w:rFonts w:hint="eastAsia" w:ascii="宋体" w:hAnsi="宋体" w:cs="宋体"/>
          <w:b/>
          <w:bCs/>
          <w:color w:val="000000"/>
          <w:sz w:val="28"/>
          <w:szCs w:val="28"/>
          <w:lang w:val="zh-CN"/>
        </w:rPr>
        <w:t>文件材料</w:t>
      </w:r>
    </w:p>
    <w:p w14:paraId="04AC8BA2">
      <w:pPr>
        <w:jc w:val="center"/>
        <w:rPr>
          <w:rFonts w:hint="eastAsia" w:ascii="宋体" w:hAnsi="宋体" w:cs="宋体"/>
          <w:bCs/>
          <w:color w:val="000000"/>
          <w:sz w:val="24"/>
          <w:szCs w:val="24"/>
          <w:lang w:val="zh-CN"/>
        </w:rPr>
      </w:pPr>
      <w:r>
        <w:rPr>
          <w:rFonts w:hint="eastAsia" w:ascii="宋体" w:hAnsi="宋体" w:cs="宋体"/>
          <w:b/>
          <w:bCs/>
          <w:color w:val="000000"/>
          <w:sz w:val="24"/>
          <w:szCs w:val="24"/>
          <w:lang w:val="zh-CN"/>
        </w:rPr>
        <w:t>（格式自拟）</w:t>
      </w:r>
    </w:p>
    <w:p w14:paraId="6A7573DB">
      <w:pPr>
        <w:jc w:val="center"/>
        <w:rPr>
          <w:rFonts w:hint="eastAsia" w:ascii="宋体" w:hAnsi="宋体" w:cs="宋体"/>
          <w:b/>
          <w:color w:val="000000"/>
          <w:sz w:val="28"/>
          <w:szCs w:val="28"/>
        </w:rPr>
      </w:pPr>
    </w:p>
    <w:p w14:paraId="36EA86A1">
      <w:pPr>
        <w:jc w:val="center"/>
        <w:rPr>
          <w:rFonts w:hint="eastAsia" w:ascii="宋体" w:hAnsi="宋体" w:cs="宋体"/>
          <w:b/>
          <w:color w:val="000000"/>
          <w:sz w:val="28"/>
          <w:szCs w:val="28"/>
        </w:rPr>
      </w:pPr>
    </w:p>
    <w:p w14:paraId="5E3BA1CF">
      <w:pPr>
        <w:pStyle w:val="3"/>
        <w:rPr>
          <w:rFonts w:hint="eastAsia" w:ascii="宋体" w:hAnsi="宋体" w:cs="宋体"/>
          <w:color w:val="000000"/>
          <w:sz w:val="28"/>
          <w:szCs w:val="28"/>
        </w:rPr>
      </w:pPr>
    </w:p>
    <w:p w14:paraId="30BB5B71">
      <w:pPr>
        <w:rPr>
          <w:rFonts w:hint="eastAsia" w:ascii="宋体" w:hAnsi="宋体" w:cs="宋体"/>
          <w:b/>
          <w:color w:val="000000"/>
          <w:sz w:val="28"/>
          <w:szCs w:val="28"/>
        </w:rPr>
      </w:pPr>
    </w:p>
    <w:p w14:paraId="1EAFBE57">
      <w:pPr>
        <w:pStyle w:val="3"/>
        <w:rPr>
          <w:rFonts w:hint="eastAsia" w:ascii="宋体" w:hAnsi="宋体" w:cs="宋体"/>
          <w:color w:val="000000"/>
          <w:sz w:val="28"/>
          <w:szCs w:val="28"/>
        </w:rPr>
      </w:pPr>
    </w:p>
    <w:p w14:paraId="5725E399">
      <w:pPr>
        <w:rPr>
          <w:rFonts w:hint="eastAsia" w:ascii="宋体" w:hAnsi="宋体" w:cs="宋体"/>
          <w:b/>
          <w:color w:val="000000"/>
          <w:sz w:val="28"/>
          <w:szCs w:val="28"/>
        </w:rPr>
      </w:pPr>
    </w:p>
    <w:p w14:paraId="6399562C">
      <w:pPr>
        <w:pStyle w:val="3"/>
        <w:rPr>
          <w:rFonts w:hint="eastAsia" w:ascii="宋体" w:hAnsi="宋体" w:cs="宋体"/>
          <w:color w:val="000000"/>
          <w:sz w:val="28"/>
          <w:szCs w:val="28"/>
        </w:rPr>
      </w:pPr>
    </w:p>
    <w:p w14:paraId="0C8BBDEA">
      <w:pPr>
        <w:rPr>
          <w:rFonts w:hint="eastAsia" w:ascii="宋体" w:hAnsi="宋体" w:cs="宋体"/>
          <w:b/>
          <w:color w:val="000000"/>
          <w:sz w:val="28"/>
          <w:szCs w:val="28"/>
        </w:rPr>
      </w:pPr>
    </w:p>
    <w:p w14:paraId="68016B02">
      <w:pPr>
        <w:pStyle w:val="3"/>
        <w:rPr>
          <w:rFonts w:hint="eastAsia" w:ascii="宋体" w:hAnsi="宋体" w:cs="宋体"/>
          <w:color w:val="000000"/>
          <w:sz w:val="28"/>
          <w:szCs w:val="28"/>
        </w:rPr>
      </w:pPr>
    </w:p>
    <w:p w14:paraId="197323FD">
      <w:pPr>
        <w:rPr>
          <w:rFonts w:hint="eastAsia" w:ascii="宋体" w:hAnsi="宋体" w:cs="宋体"/>
          <w:b/>
          <w:color w:val="000000"/>
          <w:sz w:val="28"/>
          <w:szCs w:val="28"/>
        </w:rPr>
      </w:pPr>
    </w:p>
    <w:p w14:paraId="713868D7">
      <w:pPr>
        <w:pStyle w:val="3"/>
        <w:rPr>
          <w:rFonts w:hint="eastAsia" w:ascii="宋体" w:hAnsi="宋体" w:cs="宋体"/>
          <w:color w:val="000000"/>
          <w:sz w:val="28"/>
          <w:szCs w:val="28"/>
        </w:rPr>
      </w:pPr>
    </w:p>
    <w:p w14:paraId="1C1AE855">
      <w:pPr>
        <w:rPr>
          <w:rFonts w:hint="eastAsia" w:ascii="宋体" w:hAnsi="宋体" w:cs="宋体"/>
          <w:b/>
          <w:color w:val="000000"/>
          <w:sz w:val="28"/>
          <w:szCs w:val="28"/>
        </w:rPr>
      </w:pPr>
    </w:p>
    <w:p w14:paraId="4F4FD1D4">
      <w:pPr>
        <w:pStyle w:val="3"/>
        <w:rPr>
          <w:rFonts w:hint="eastAsia" w:ascii="宋体" w:hAnsi="宋体" w:cs="宋体"/>
          <w:color w:val="000000"/>
          <w:sz w:val="28"/>
          <w:szCs w:val="28"/>
        </w:rPr>
      </w:pPr>
    </w:p>
    <w:p w14:paraId="4431A0C2">
      <w:pPr>
        <w:rPr>
          <w:rFonts w:hint="eastAsia" w:ascii="宋体" w:hAnsi="宋体" w:cs="宋体"/>
          <w:b/>
          <w:color w:val="000000"/>
          <w:sz w:val="28"/>
          <w:szCs w:val="28"/>
        </w:rPr>
      </w:pPr>
    </w:p>
    <w:p w14:paraId="3EF11E26">
      <w:pPr>
        <w:pStyle w:val="3"/>
        <w:rPr>
          <w:rFonts w:hint="eastAsia" w:ascii="宋体" w:hAnsi="宋体" w:cs="宋体"/>
          <w:color w:val="000000"/>
          <w:sz w:val="28"/>
          <w:szCs w:val="28"/>
        </w:rPr>
      </w:pPr>
    </w:p>
    <w:p w14:paraId="431E7251">
      <w:pPr>
        <w:rPr>
          <w:rFonts w:hint="eastAsia" w:ascii="宋体" w:hAnsi="宋体" w:cs="宋体"/>
          <w:b/>
          <w:color w:val="000000"/>
          <w:sz w:val="28"/>
          <w:szCs w:val="28"/>
        </w:rPr>
      </w:pPr>
    </w:p>
    <w:p w14:paraId="02147774"/>
    <w:p w14:paraId="66375170">
      <w:pPr>
        <w:pStyle w:val="3"/>
      </w:pPr>
    </w:p>
    <w:p w14:paraId="733C2DA6">
      <w:pPr>
        <w:jc w:val="center"/>
        <w:rPr>
          <w:rFonts w:hint="eastAsia" w:ascii="宋体" w:hAnsi="宋体" w:cs="宋体"/>
          <w:b/>
          <w:color w:val="000000"/>
          <w:sz w:val="28"/>
          <w:szCs w:val="28"/>
        </w:rPr>
      </w:pPr>
    </w:p>
    <w:bookmarkEnd w:id="42"/>
    <w:p w14:paraId="66B022BA">
      <w:pPr>
        <w:rPr>
          <w:rFonts w:hint="eastAsia" w:ascii="宋体" w:hAnsi="宋体" w:cs="宋体"/>
          <w:b/>
          <w:color w:val="000000"/>
          <w:szCs w:val="21"/>
        </w:rPr>
      </w:pPr>
      <w:r>
        <w:rPr>
          <w:rFonts w:hint="eastAsia" w:ascii="宋体" w:hAnsi="宋体" w:cs="宋体"/>
          <w:b/>
          <w:color w:val="000000"/>
          <w:szCs w:val="21"/>
        </w:rPr>
        <w:t xml:space="preserve">   </w:t>
      </w:r>
      <w:bookmarkStart w:id="43" w:name="_附件6__"/>
      <w:bookmarkEnd w:id="43"/>
    </w:p>
    <w:p w14:paraId="0E31294B">
      <w:pPr>
        <w:widowControl/>
        <w:jc w:val="center"/>
      </w:pPr>
      <w:r>
        <w:rPr>
          <w:rFonts w:hint="eastAsia" w:ascii="宋体" w:hAnsi="宋体" w:cs="宋体"/>
          <w:b/>
          <w:bCs/>
          <w:color w:val="000000"/>
          <w:sz w:val="28"/>
          <w:szCs w:val="28"/>
        </w:rPr>
        <w:t>十、</w:t>
      </w:r>
      <w:r>
        <w:rPr>
          <w:rFonts w:hint="eastAsia" w:ascii="宋体" w:hAnsi="宋体" w:cs="宋体"/>
          <w:b/>
          <w:bCs/>
          <w:color w:val="000000"/>
          <w:kern w:val="0"/>
          <w:sz w:val="28"/>
          <w:szCs w:val="28"/>
          <w:lang w:bidi="ar"/>
        </w:rPr>
        <w:t>技术方案</w:t>
      </w:r>
    </w:p>
    <w:p w14:paraId="0F09CF0E">
      <w:pPr>
        <w:rPr>
          <w:rFonts w:hint="eastAsia" w:ascii="宋体" w:hAnsi="宋体" w:cs="宋体"/>
          <w:b/>
          <w:bCs/>
          <w:color w:val="000000"/>
          <w:sz w:val="28"/>
          <w:szCs w:val="28"/>
        </w:rPr>
      </w:pPr>
      <w:r>
        <w:rPr>
          <w:rFonts w:hint="eastAsia" w:ascii="宋体" w:hAnsi="宋体" w:cs="宋体"/>
          <w:b/>
          <w:bCs/>
          <w:color w:val="000000"/>
          <w:sz w:val="28"/>
          <w:szCs w:val="28"/>
        </w:rPr>
        <w:t xml:space="preserve">说明： </w:t>
      </w:r>
    </w:p>
    <w:p w14:paraId="06591765">
      <w:pPr>
        <w:jc w:val="center"/>
        <w:rPr>
          <w:rFonts w:hint="eastAsia" w:ascii="宋体" w:hAnsi="宋体" w:cs="宋体"/>
          <w:b/>
          <w:bCs/>
          <w:color w:val="000000"/>
          <w:sz w:val="28"/>
          <w:szCs w:val="28"/>
        </w:rPr>
      </w:pPr>
      <w:r>
        <w:rPr>
          <w:rFonts w:hint="eastAsia" w:ascii="宋体" w:hAnsi="宋体" w:cs="宋体"/>
          <w:b/>
          <w:bCs/>
          <w:color w:val="000000"/>
          <w:sz w:val="28"/>
          <w:szCs w:val="28"/>
        </w:rPr>
        <w:t>根据第三章评标标准和方法自行拟定。</w:t>
      </w:r>
    </w:p>
    <w:p w14:paraId="22E31FDC">
      <w:pPr>
        <w:jc w:val="center"/>
        <w:rPr>
          <w:rFonts w:hint="eastAsia" w:ascii="宋体" w:hAnsi="宋体" w:cs="宋体"/>
          <w:b/>
          <w:bCs/>
          <w:color w:val="000000"/>
          <w:sz w:val="28"/>
          <w:szCs w:val="28"/>
        </w:rPr>
      </w:pPr>
    </w:p>
    <w:p w14:paraId="7E4A0E2A">
      <w:pPr>
        <w:jc w:val="center"/>
        <w:rPr>
          <w:rFonts w:hint="eastAsia" w:ascii="宋体" w:hAnsi="宋体" w:cs="宋体"/>
          <w:b/>
          <w:bCs/>
          <w:color w:val="000000"/>
          <w:sz w:val="28"/>
          <w:szCs w:val="28"/>
        </w:rPr>
      </w:pPr>
    </w:p>
    <w:p w14:paraId="7A0E59E4">
      <w:pPr>
        <w:jc w:val="center"/>
        <w:rPr>
          <w:rFonts w:hint="eastAsia" w:ascii="宋体" w:hAnsi="宋体" w:cs="宋体"/>
          <w:b/>
          <w:bCs/>
          <w:color w:val="000000"/>
          <w:sz w:val="28"/>
          <w:szCs w:val="28"/>
        </w:rPr>
      </w:pPr>
    </w:p>
    <w:p w14:paraId="139B6AC1">
      <w:pPr>
        <w:jc w:val="center"/>
        <w:rPr>
          <w:rFonts w:hint="eastAsia" w:ascii="宋体" w:hAnsi="宋体" w:cs="宋体"/>
          <w:b/>
          <w:bCs/>
          <w:color w:val="000000"/>
          <w:sz w:val="28"/>
          <w:szCs w:val="28"/>
        </w:rPr>
      </w:pPr>
    </w:p>
    <w:p w14:paraId="4C5B2962">
      <w:pPr>
        <w:jc w:val="center"/>
        <w:rPr>
          <w:rFonts w:hint="eastAsia" w:ascii="宋体" w:hAnsi="宋体" w:cs="宋体"/>
          <w:b/>
          <w:bCs/>
          <w:color w:val="000000"/>
          <w:sz w:val="28"/>
          <w:szCs w:val="28"/>
        </w:rPr>
      </w:pPr>
    </w:p>
    <w:p w14:paraId="604F6213">
      <w:pPr>
        <w:jc w:val="center"/>
        <w:rPr>
          <w:rFonts w:hint="eastAsia" w:ascii="宋体" w:hAnsi="宋体" w:cs="宋体"/>
          <w:b/>
          <w:bCs/>
          <w:color w:val="000000"/>
          <w:sz w:val="28"/>
          <w:szCs w:val="28"/>
        </w:rPr>
      </w:pPr>
    </w:p>
    <w:p w14:paraId="60726C0F">
      <w:pPr>
        <w:jc w:val="center"/>
        <w:rPr>
          <w:rFonts w:hint="eastAsia" w:ascii="宋体" w:hAnsi="宋体" w:cs="宋体"/>
          <w:b/>
          <w:bCs/>
          <w:color w:val="000000"/>
          <w:sz w:val="28"/>
          <w:szCs w:val="28"/>
        </w:rPr>
      </w:pPr>
    </w:p>
    <w:p w14:paraId="20A870A4">
      <w:pPr>
        <w:jc w:val="center"/>
        <w:rPr>
          <w:rFonts w:hint="eastAsia" w:ascii="宋体" w:hAnsi="宋体" w:cs="宋体"/>
          <w:b/>
          <w:bCs/>
          <w:color w:val="000000"/>
          <w:sz w:val="28"/>
          <w:szCs w:val="28"/>
        </w:rPr>
      </w:pPr>
    </w:p>
    <w:p w14:paraId="78F5FA59">
      <w:pPr>
        <w:jc w:val="center"/>
        <w:rPr>
          <w:rFonts w:hint="eastAsia" w:ascii="宋体" w:hAnsi="宋体" w:cs="宋体"/>
          <w:b/>
          <w:bCs/>
          <w:color w:val="000000"/>
          <w:sz w:val="28"/>
          <w:szCs w:val="28"/>
        </w:rPr>
      </w:pPr>
    </w:p>
    <w:p w14:paraId="0F922012">
      <w:pPr>
        <w:jc w:val="center"/>
        <w:rPr>
          <w:rFonts w:hint="eastAsia" w:ascii="宋体" w:hAnsi="宋体" w:cs="宋体"/>
          <w:b/>
          <w:bCs/>
          <w:color w:val="000000"/>
          <w:sz w:val="28"/>
          <w:szCs w:val="28"/>
        </w:rPr>
      </w:pPr>
    </w:p>
    <w:p w14:paraId="73E51034">
      <w:pPr>
        <w:jc w:val="center"/>
        <w:rPr>
          <w:rFonts w:hint="eastAsia" w:ascii="宋体" w:hAnsi="宋体" w:cs="宋体"/>
          <w:b/>
          <w:bCs/>
          <w:color w:val="000000"/>
          <w:sz w:val="28"/>
          <w:szCs w:val="28"/>
        </w:rPr>
      </w:pPr>
    </w:p>
    <w:p w14:paraId="35AB878A">
      <w:pPr>
        <w:jc w:val="center"/>
        <w:rPr>
          <w:rFonts w:hint="eastAsia" w:ascii="宋体" w:hAnsi="宋体" w:cs="宋体"/>
          <w:b/>
          <w:bCs/>
          <w:color w:val="000000"/>
          <w:sz w:val="28"/>
          <w:szCs w:val="28"/>
        </w:rPr>
      </w:pPr>
    </w:p>
    <w:p w14:paraId="107B7B4C">
      <w:pPr>
        <w:jc w:val="center"/>
        <w:rPr>
          <w:rFonts w:hint="eastAsia" w:ascii="宋体" w:hAnsi="宋体" w:cs="宋体"/>
          <w:b/>
          <w:bCs/>
          <w:color w:val="000000"/>
          <w:sz w:val="28"/>
          <w:szCs w:val="28"/>
        </w:rPr>
      </w:pPr>
    </w:p>
    <w:p w14:paraId="6C35D4FE">
      <w:pPr>
        <w:jc w:val="center"/>
        <w:rPr>
          <w:rFonts w:hint="eastAsia" w:ascii="宋体" w:hAnsi="宋体" w:cs="宋体"/>
          <w:b/>
          <w:bCs/>
          <w:color w:val="000000"/>
          <w:sz w:val="28"/>
          <w:szCs w:val="28"/>
        </w:rPr>
      </w:pPr>
    </w:p>
    <w:p w14:paraId="683911ED">
      <w:pPr>
        <w:jc w:val="center"/>
        <w:rPr>
          <w:rFonts w:hint="eastAsia" w:ascii="宋体" w:hAnsi="宋体" w:cs="宋体"/>
          <w:b/>
          <w:bCs/>
          <w:color w:val="000000"/>
          <w:sz w:val="28"/>
          <w:szCs w:val="28"/>
        </w:rPr>
      </w:pPr>
    </w:p>
    <w:p w14:paraId="7071A276">
      <w:pPr>
        <w:jc w:val="center"/>
        <w:rPr>
          <w:rFonts w:hint="eastAsia" w:ascii="宋体" w:hAnsi="宋体" w:cs="宋体"/>
          <w:b/>
          <w:bCs/>
          <w:color w:val="000000"/>
          <w:sz w:val="28"/>
          <w:szCs w:val="28"/>
        </w:rPr>
      </w:pPr>
    </w:p>
    <w:p w14:paraId="52728240">
      <w:pPr>
        <w:jc w:val="center"/>
        <w:rPr>
          <w:rFonts w:hint="eastAsia" w:ascii="宋体" w:hAnsi="宋体" w:cs="宋体"/>
          <w:b/>
          <w:bCs/>
          <w:color w:val="000000"/>
          <w:sz w:val="28"/>
          <w:szCs w:val="28"/>
        </w:rPr>
      </w:pPr>
    </w:p>
    <w:p w14:paraId="0DFBB4FC">
      <w:pPr>
        <w:jc w:val="center"/>
        <w:rPr>
          <w:rFonts w:hint="eastAsia" w:ascii="宋体" w:hAnsi="宋体" w:cs="宋体"/>
          <w:b/>
          <w:bCs/>
          <w:color w:val="000000"/>
          <w:sz w:val="28"/>
          <w:szCs w:val="28"/>
        </w:rPr>
      </w:pPr>
    </w:p>
    <w:p w14:paraId="0C5AD1F6">
      <w:pPr>
        <w:jc w:val="center"/>
        <w:rPr>
          <w:rFonts w:hint="eastAsia" w:ascii="宋体" w:hAnsi="宋体" w:cs="宋体"/>
          <w:b/>
          <w:bCs/>
          <w:color w:val="000000"/>
          <w:sz w:val="28"/>
          <w:szCs w:val="28"/>
        </w:rPr>
      </w:pPr>
    </w:p>
    <w:p w14:paraId="13357681">
      <w:pPr>
        <w:jc w:val="center"/>
        <w:rPr>
          <w:rFonts w:hint="eastAsia" w:ascii="宋体" w:hAnsi="宋体" w:cs="宋体"/>
          <w:b/>
          <w:bCs/>
          <w:color w:val="000000"/>
          <w:sz w:val="28"/>
          <w:szCs w:val="28"/>
        </w:rPr>
      </w:pPr>
    </w:p>
    <w:p w14:paraId="050FE5D2">
      <w:pPr>
        <w:jc w:val="center"/>
        <w:rPr>
          <w:rFonts w:hint="eastAsia" w:ascii="宋体" w:hAnsi="宋体" w:cs="宋体"/>
          <w:b/>
          <w:bCs/>
          <w:color w:val="000000"/>
          <w:sz w:val="28"/>
          <w:szCs w:val="28"/>
        </w:rPr>
      </w:pPr>
    </w:p>
    <w:p w14:paraId="4DF04A2F">
      <w:pPr>
        <w:jc w:val="center"/>
        <w:rPr>
          <w:rFonts w:hint="eastAsia" w:ascii="宋体" w:hAnsi="宋体" w:cs="宋体"/>
          <w:b/>
          <w:bCs/>
          <w:color w:val="000000"/>
          <w:sz w:val="28"/>
          <w:szCs w:val="28"/>
        </w:rPr>
      </w:pPr>
    </w:p>
    <w:p w14:paraId="165ABCF3">
      <w:pPr>
        <w:jc w:val="center"/>
        <w:rPr>
          <w:rFonts w:hint="eastAsia" w:ascii="宋体" w:hAnsi="宋体" w:cs="宋体"/>
          <w:b/>
          <w:bCs/>
          <w:color w:val="000000"/>
          <w:sz w:val="28"/>
          <w:szCs w:val="28"/>
        </w:rPr>
      </w:pPr>
    </w:p>
    <w:p w14:paraId="320F81E2">
      <w:pPr>
        <w:jc w:val="center"/>
        <w:rPr>
          <w:rFonts w:hint="eastAsia" w:ascii="宋体" w:hAnsi="宋体" w:cs="宋体"/>
          <w:b/>
          <w:bCs/>
          <w:color w:val="000000"/>
          <w:sz w:val="28"/>
          <w:szCs w:val="28"/>
        </w:rPr>
      </w:pPr>
    </w:p>
    <w:p w14:paraId="17F67925">
      <w:pPr>
        <w:jc w:val="center"/>
        <w:rPr>
          <w:rFonts w:hint="eastAsia" w:ascii="宋体" w:hAnsi="宋体" w:cs="宋体"/>
          <w:b/>
          <w:bCs/>
          <w:color w:val="000000"/>
          <w:sz w:val="28"/>
          <w:szCs w:val="28"/>
        </w:rPr>
      </w:pPr>
    </w:p>
    <w:p w14:paraId="65924333">
      <w:pPr>
        <w:jc w:val="center"/>
        <w:rPr>
          <w:rFonts w:hint="eastAsia" w:ascii="宋体" w:hAnsi="宋体" w:cs="宋体"/>
          <w:b/>
          <w:bCs/>
          <w:color w:val="000000"/>
          <w:sz w:val="28"/>
          <w:szCs w:val="28"/>
        </w:rPr>
      </w:pPr>
    </w:p>
    <w:p w14:paraId="3728F5A9">
      <w:pPr>
        <w:jc w:val="center"/>
        <w:rPr>
          <w:rFonts w:hint="eastAsia" w:ascii="宋体" w:hAnsi="宋体" w:cs="宋体"/>
          <w:b/>
          <w:bCs/>
          <w:color w:val="000000"/>
          <w:sz w:val="28"/>
          <w:szCs w:val="28"/>
        </w:rPr>
      </w:pPr>
    </w:p>
    <w:p w14:paraId="39653115">
      <w:pPr>
        <w:jc w:val="center"/>
        <w:rPr>
          <w:rFonts w:hint="eastAsia" w:ascii="宋体" w:hAnsi="宋体" w:cs="宋体"/>
          <w:b/>
          <w:bCs/>
          <w:color w:val="000000"/>
          <w:sz w:val="28"/>
          <w:szCs w:val="28"/>
        </w:rPr>
      </w:pPr>
    </w:p>
    <w:p w14:paraId="7A18C08D">
      <w:pPr>
        <w:jc w:val="center"/>
        <w:rPr>
          <w:rFonts w:hint="eastAsia" w:ascii="宋体" w:hAnsi="宋体" w:cs="宋体"/>
          <w:b/>
          <w:bCs/>
          <w:color w:val="000000"/>
          <w:sz w:val="28"/>
          <w:szCs w:val="28"/>
        </w:rPr>
      </w:pPr>
    </w:p>
    <w:p w14:paraId="229FDDD5">
      <w:pPr>
        <w:jc w:val="center"/>
        <w:rPr>
          <w:rFonts w:hint="eastAsia" w:ascii="宋体" w:hAnsi="宋体" w:cs="宋体"/>
          <w:b/>
          <w:bCs/>
          <w:color w:val="000000"/>
          <w:sz w:val="28"/>
          <w:szCs w:val="28"/>
        </w:rPr>
      </w:pPr>
    </w:p>
    <w:p w14:paraId="6A0DEA8D">
      <w:pPr>
        <w:jc w:val="center"/>
        <w:rPr>
          <w:rFonts w:hint="eastAsia" w:ascii="宋体" w:hAnsi="宋体" w:cs="宋体"/>
          <w:b/>
          <w:bCs/>
          <w:color w:val="000000"/>
          <w:sz w:val="28"/>
          <w:szCs w:val="28"/>
        </w:rPr>
      </w:pPr>
    </w:p>
    <w:p w14:paraId="32EC0993">
      <w:pPr>
        <w:jc w:val="center"/>
        <w:rPr>
          <w:rFonts w:hint="eastAsia" w:ascii="宋体" w:hAnsi="宋体" w:cs="宋体"/>
          <w:b/>
          <w:bCs/>
          <w:color w:val="000000"/>
          <w:sz w:val="28"/>
          <w:szCs w:val="28"/>
        </w:rPr>
      </w:pPr>
    </w:p>
    <w:p w14:paraId="24382AE4">
      <w:pPr>
        <w:jc w:val="center"/>
        <w:rPr>
          <w:rFonts w:hint="eastAsia" w:ascii="宋体" w:hAnsi="宋体" w:cs="宋体"/>
          <w:b/>
          <w:bCs/>
          <w:color w:val="000000"/>
          <w:sz w:val="28"/>
          <w:szCs w:val="28"/>
        </w:rPr>
      </w:pPr>
    </w:p>
    <w:p w14:paraId="19D2222E">
      <w:pPr>
        <w:jc w:val="center"/>
        <w:rPr>
          <w:rFonts w:hint="eastAsia" w:ascii="宋体" w:hAnsi="宋体" w:cs="宋体"/>
          <w:b/>
          <w:bCs/>
          <w:color w:val="000000"/>
          <w:sz w:val="28"/>
          <w:szCs w:val="28"/>
        </w:rPr>
      </w:pPr>
    </w:p>
    <w:p w14:paraId="2D75FEC7">
      <w:pPr>
        <w:jc w:val="center"/>
        <w:rPr>
          <w:rFonts w:hint="eastAsia" w:ascii="宋体" w:hAnsi="宋体" w:cs="宋体"/>
          <w:b/>
          <w:bCs/>
          <w:color w:val="000000"/>
          <w:sz w:val="28"/>
          <w:szCs w:val="28"/>
          <w:lang w:val="zh-CN"/>
        </w:rPr>
      </w:pPr>
      <w:r>
        <w:rPr>
          <w:rFonts w:hint="eastAsia" w:ascii="宋体" w:hAnsi="宋体" w:cs="宋体"/>
          <w:b/>
          <w:bCs/>
          <w:color w:val="000000"/>
          <w:sz w:val="28"/>
          <w:szCs w:val="28"/>
        </w:rPr>
        <w:t>十一、</w:t>
      </w:r>
      <w:r>
        <w:rPr>
          <w:rFonts w:hint="eastAsia" w:ascii="宋体" w:hAnsi="宋体" w:cs="宋体"/>
          <w:b/>
          <w:bCs/>
          <w:color w:val="000000"/>
          <w:sz w:val="28"/>
          <w:szCs w:val="28"/>
          <w:lang w:val="zh-CN"/>
        </w:rPr>
        <w:t>其他技术措施</w:t>
      </w:r>
    </w:p>
    <w:p w14:paraId="22BBD762">
      <w:pPr>
        <w:jc w:val="center"/>
        <w:rPr>
          <w:rFonts w:hint="eastAsia" w:ascii="宋体" w:hAnsi="宋体" w:cs="宋体"/>
          <w:b/>
          <w:bCs/>
          <w:color w:val="000000"/>
          <w:sz w:val="24"/>
          <w:szCs w:val="24"/>
          <w:lang w:val="zh-CN"/>
        </w:rPr>
      </w:pPr>
      <w:r>
        <w:rPr>
          <w:rFonts w:hint="eastAsia" w:ascii="宋体" w:hAnsi="宋体" w:cs="宋体"/>
          <w:b/>
          <w:bCs/>
          <w:color w:val="000000"/>
          <w:sz w:val="24"/>
          <w:szCs w:val="24"/>
          <w:lang w:val="zh-CN"/>
        </w:rPr>
        <w:t>（格式自拟）</w:t>
      </w:r>
    </w:p>
    <w:p w14:paraId="1B42A232">
      <w:pPr>
        <w:jc w:val="center"/>
        <w:rPr>
          <w:rFonts w:hint="eastAsia" w:ascii="宋体" w:hAnsi="宋体" w:cs="宋体"/>
          <w:b/>
          <w:bCs/>
          <w:color w:val="000000"/>
          <w:szCs w:val="21"/>
          <w:lang w:val="zh-CN"/>
        </w:rPr>
      </w:pPr>
    </w:p>
    <w:p w14:paraId="6655189A">
      <w:pPr>
        <w:rPr>
          <w:rFonts w:hint="eastAsia" w:ascii="宋体" w:hAnsi="宋体" w:cs="宋体"/>
          <w:b/>
          <w:bCs/>
          <w:color w:val="000000"/>
          <w:szCs w:val="21"/>
          <w:lang w:val="zh-CN"/>
        </w:rPr>
      </w:pPr>
      <w:r>
        <w:rPr>
          <w:rFonts w:hint="eastAsia" w:ascii="宋体" w:hAnsi="宋体" w:cs="宋体"/>
          <w:b/>
          <w:bCs/>
          <w:color w:val="000000"/>
          <w:szCs w:val="21"/>
          <w:lang w:val="zh-CN"/>
        </w:rPr>
        <w:br w:type="page"/>
      </w:r>
    </w:p>
    <w:p w14:paraId="699DADE0">
      <w:pPr>
        <w:jc w:val="center"/>
        <w:rPr>
          <w:b/>
          <w:sz w:val="32"/>
          <w:szCs w:val="32"/>
          <w:lang w:val="zh-CN"/>
        </w:rPr>
      </w:pPr>
      <w:r>
        <w:rPr>
          <w:rFonts w:hint="eastAsia" w:ascii="宋体" w:hAnsi="宋体" w:cs="宋体"/>
          <w:b/>
          <w:color w:val="000000"/>
          <w:sz w:val="32"/>
          <w:szCs w:val="32"/>
        </w:rPr>
        <w:t xml:space="preserve">    </w:t>
      </w:r>
      <w:bookmarkStart w:id="44" w:name="_Toc15771"/>
      <w:r>
        <w:rPr>
          <w:rStyle w:val="79"/>
          <w:rFonts w:hint="eastAsia"/>
          <w:lang w:val="zh-CN"/>
        </w:rPr>
        <w:t>第</w:t>
      </w:r>
      <w:r>
        <w:rPr>
          <w:rStyle w:val="79"/>
          <w:rFonts w:hint="eastAsia"/>
        </w:rPr>
        <w:t>七</w:t>
      </w:r>
      <w:r>
        <w:rPr>
          <w:rStyle w:val="79"/>
          <w:rFonts w:hint="eastAsia"/>
          <w:lang w:val="zh-CN"/>
        </w:rPr>
        <w:t>章  附件</w:t>
      </w:r>
      <w:bookmarkEnd w:id="44"/>
    </w:p>
    <w:p w14:paraId="612453B9"/>
    <w:p w14:paraId="49ACC8E2">
      <w:r>
        <w:rPr>
          <w:rFonts w:hint="eastAsia"/>
        </w:rPr>
        <w:t xml:space="preserve">  </w:t>
      </w:r>
    </w:p>
    <w:p w14:paraId="04A3566E">
      <w:pPr>
        <w:rPr>
          <w:rFonts w:hint="eastAsia" w:ascii="宋体" w:hAnsi="宋体" w:cs="宋体"/>
          <w:color w:val="FF0000"/>
          <w:szCs w:val="21"/>
        </w:rPr>
      </w:pPr>
      <w:r>
        <w:rPr>
          <w:rFonts w:hint="eastAsia" w:ascii="宋体" w:hAnsi="宋体" w:cs="宋体"/>
          <w:color w:val="FF0000"/>
          <w:szCs w:val="21"/>
          <w:shd w:val="clear" w:color="auto" w:fill="FFFFFF"/>
        </w:rPr>
        <w:t xml:space="preserve">                 </w:t>
      </w:r>
      <w:r>
        <w:rPr>
          <w:rFonts w:hint="eastAsia" w:ascii="宋体" w:hAnsi="宋体" w:cs="宋体"/>
          <w:color w:val="FF0000"/>
          <w:szCs w:val="21"/>
          <w:shd w:val="clear" w:color="auto" w:fill="FFFFFF"/>
        </w:rPr>
        <w:drawing>
          <wp:inline distT="0" distB="0" distL="114300" distR="114300">
            <wp:extent cx="4286250" cy="1905000"/>
            <wp:effectExtent l="0" t="0" r="0" b="0"/>
            <wp:docPr id="1"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7"/>
                    <pic:cNvPicPr>
                      <a:picLocks noChangeAspect="1"/>
                    </pic:cNvPicPr>
                  </pic:nvPicPr>
                  <pic:blipFill>
                    <a:blip r:embed="rId25"/>
                    <a:stretch>
                      <a:fillRect/>
                    </a:stretch>
                  </pic:blipFill>
                  <pic:spPr>
                    <a:xfrm>
                      <a:off x="0" y="0"/>
                      <a:ext cx="4286250" cy="1905000"/>
                    </a:xfrm>
                    <a:prstGeom prst="rect">
                      <a:avLst/>
                    </a:prstGeom>
                    <a:noFill/>
                    <a:ln>
                      <a:noFill/>
                    </a:ln>
                  </pic:spPr>
                </pic:pic>
              </a:graphicData>
            </a:graphic>
          </wp:inline>
        </w:drawing>
      </w:r>
    </w:p>
    <w:p w14:paraId="093762A7">
      <w:pPr>
        <w:jc w:val="center"/>
      </w:pPr>
    </w:p>
    <w:p w14:paraId="2CD045FC">
      <w:pPr>
        <w:jc w:val="center"/>
      </w:pPr>
    </w:p>
    <w:p w14:paraId="4D19998E">
      <w:pPr>
        <w:jc w:val="center"/>
        <w:rPr>
          <w:sz w:val="24"/>
          <w:szCs w:val="24"/>
        </w:rPr>
      </w:pPr>
      <w:r>
        <w:rPr>
          <w:rFonts w:hint="eastAsia"/>
          <w:sz w:val="24"/>
          <w:szCs w:val="24"/>
        </w:rPr>
        <w:t>工信部联企业〔2011〕300号</w:t>
      </w:r>
    </w:p>
    <w:p w14:paraId="6A24C196">
      <w:pPr>
        <w:jc w:val="center"/>
      </w:pPr>
    </w:p>
    <w:p w14:paraId="1F239201">
      <w:pPr>
        <w:widowControl/>
        <w:pBdr>
          <w:top w:val="single" w:color="FF0000" w:sz="18" w:space="30"/>
        </w:pBdr>
        <w:shd w:val="clear" w:color="auto" w:fill="FFFFFF"/>
        <w:spacing w:before="100" w:beforeAutospacing="1" w:after="100" w:afterAutospacing="1" w:line="420" w:lineRule="atLeast"/>
        <w:ind w:left="150"/>
        <w:jc w:val="center"/>
        <w:rPr>
          <w:rFonts w:hint="eastAsia" w:ascii="宋体" w:hAnsi="宋体" w:cs="宋体"/>
          <w:color w:val="000000"/>
          <w:sz w:val="24"/>
          <w:szCs w:val="24"/>
        </w:rPr>
      </w:pPr>
      <w:r>
        <w:rPr>
          <w:rFonts w:hint="eastAsia" w:ascii="宋体" w:hAnsi="宋体" w:cs="宋体"/>
          <w:color w:val="000000"/>
          <w:kern w:val="0"/>
          <w:sz w:val="24"/>
          <w:szCs w:val="24"/>
          <w:shd w:val="clear" w:color="auto" w:fill="FFFFFF"/>
          <w:lang w:bidi="ar"/>
        </w:rPr>
        <w:t>关于印发中小企业划型标准规定的通知</w:t>
      </w:r>
    </w:p>
    <w:p w14:paraId="32A4E32A">
      <w:pPr>
        <w:pStyle w:val="17"/>
        <w:widowControl/>
        <w:spacing w:before="452" w:after="150" w:line="560" w:lineRule="atLeast"/>
        <w:ind w:left="150"/>
        <w:rPr>
          <w:rFonts w:hint="eastAsia" w:ascii="宋体" w:hAnsi="宋体" w:cs="宋体"/>
          <w:color w:val="000000"/>
          <w:szCs w:val="24"/>
          <w:shd w:val="clear" w:color="auto" w:fill="FFFFFF"/>
        </w:rPr>
      </w:pPr>
      <w:r>
        <w:rPr>
          <w:rFonts w:hint="eastAsia" w:ascii="宋体" w:hAnsi="宋体" w:cs="宋体"/>
          <w:color w:val="000000"/>
          <w:szCs w:val="24"/>
          <w:shd w:val="clear" w:color="auto" w:fill="FFFFFF"/>
        </w:rPr>
        <w:t>各省、自治区、直辖市人民政府，国务院各部委、各直属机构及有关单位：</w:t>
      </w:r>
    </w:p>
    <w:p w14:paraId="7AABA1F0">
      <w:pPr>
        <w:pStyle w:val="17"/>
        <w:widowControl/>
        <w:spacing w:before="452" w:after="150" w:line="560" w:lineRule="atLeast"/>
        <w:ind w:left="150"/>
        <w:rPr>
          <w:rFonts w:hint="eastAsia" w:ascii="宋体" w:hAnsi="宋体" w:cs="宋体"/>
          <w:szCs w:val="24"/>
        </w:rPr>
      </w:pPr>
      <w:r>
        <w:rPr>
          <w:rFonts w:hint="eastAsia" w:ascii="宋体" w:hAnsi="宋体" w:cs="宋体"/>
          <w:color w:val="000000"/>
          <w:szCs w:val="24"/>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57072AB">
      <w:pPr>
        <w:pStyle w:val="17"/>
        <w:widowControl/>
        <w:spacing w:before="452" w:after="150" w:line="560" w:lineRule="atLeast"/>
        <w:ind w:left="150"/>
        <w:jc w:val="right"/>
        <w:rPr>
          <w:rFonts w:hint="eastAsia" w:ascii="宋体" w:hAnsi="宋体" w:cs="宋体"/>
          <w:color w:val="000000"/>
          <w:szCs w:val="24"/>
          <w:shd w:val="clear" w:color="auto" w:fill="FFFFFF"/>
        </w:rPr>
      </w:pPr>
      <w:r>
        <w:rPr>
          <w:rFonts w:hint="eastAsia" w:ascii="宋体" w:hAnsi="宋体" w:cs="宋体"/>
          <w:color w:val="000000"/>
          <w:szCs w:val="24"/>
          <w:shd w:val="clear" w:color="auto" w:fill="FFFFFF"/>
        </w:rPr>
        <w:t>工业和信息化部</w:t>
      </w:r>
    </w:p>
    <w:p w14:paraId="65EBD4F9">
      <w:pPr>
        <w:pStyle w:val="17"/>
        <w:widowControl/>
        <w:spacing w:before="452" w:after="150" w:line="560" w:lineRule="atLeast"/>
        <w:ind w:left="150"/>
        <w:jc w:val="right"/>
        <w:rPr>
          <w:rFonts w:hint="eastAsia" w:ascii="宋体" w:hAnsi="宋体" w:cs="宋体"/>
          <w:color w:val="000000"/>
          <w:szCs w:val="24"/>
          <w:shd w:val="clear" w:color="auto" w:fill="FFFFFF"/>
        </w:rPr>
      </w:pPr>
      <w:r>
        <w:rPr>
          <w:rFonts w:hint="eastAsia" w:ascii="宋体" w:hAnsi="宋体" w:cs="宋体"/>
          <w:color w:val="000000"/>
          <w:szCs w:val="24"/>
          <w:shd w:val="clear" w:color="auto" w:fill="FFFFFF"/>
        </w:rPr>
        <w:t>国家统计局</w:t>
      </w:r>
    </w:p>
    <w:p w14:paraId="23563FE8">
      <w:pPr>
        <w:pStyle w:val="17"/>
        <w:widowControl/>
        <w:spacing w:before="452" w:after="150" w:line="560" w:lineRule="atLeast"/>
        <w:ind w:left="150"/>
        <w:jc w:val="right"/>
        <w:rPr>
          <w:rFonts w:hint="eastAsia" w:ascii="宋体" w:hAnsi="宋体" w:cs="宋体"/>
          <w:color w:val="000000"/>
          <w:szCs w:val="24"/>
          <w:shd w:val="clear" w:color="auto" w:fill="FFFFFF"/>
        </w:rPr>
      </w:pPr>
      <w:r>
        <w:rPr>
          <w:rFonts w:hint="eastAsia" w:ascii="宋体" w:hAnsi="宋体" w:cs="宋体"/>
          <w:color w:val="000000"/>
          <w:szCs w:val="24"/>
          <w:shd w:val="clear" w:color="auto" w:fill="FFFFFF"/>
        </w:rPr>
        <w:t>国家发展和改革委员会</w:t>
      </w:r>
    </w:p>
    <w:p w14:paraId="3EDE6CE4">
      <w:pPr>
        <w:pStyle w:val="17"/>
        <w:widowControl/>
        <w:spacing w:before="452" w:after="150" w:line="560" w:lineRule="atLeast"/>
        <w:ind w:left="150"/>
        <w:jc w:val="right"/>
        <w:rPr>
          <w:rFonts w:hint="eastAsia" w:ascii="宋体" w:hAnsi="宋体" w:cs="宋体"/>
          <w:color w:val="000000"/>
          <w:szCs w:val="24"/>
          <w:shd w:val="clear" w:color="auto" w:fill="FFFFFF"/>
        </w:rPr>
      </w:pPr>
      <w:r>
        <w:rPr>
          <w:rFonts w:hint="eastAsia" w:ascii="宋体" w:hAnsi="宋体" w:cs="宋体"/>
          <w:color w:val="000000"/>
          <w:szCs w:val="24"/>
          <w:shd w:val="clear" w:color="auto" w:fill="FFFFFF"/>
        </w:rPr>
        <w:t>财政部</w:t>
      </w:r>
    </w:p>
    <w:p w14:paraId="760436D9">
      <w:pPr>
        <w:jc w:val="right"/>
        <w:rPr>
          <w:sz w:val="24"/>
          <w:szCs w:val="24"/>
        </w:rPr>
      </w:pPr>
      <w:r>
        <w:rPr>
          <w:rFonts w:hint="eastAsia"/>
          <w:sz w:val="24"/>
          <w:szCs w:val="24"/>
        </w:rPr>
        <w:t>二○一一年六月十八日</w:t>
      </w:r>
    </w:p>
    <w:p w14:paraId="1AB922BD">
      <w:pPr>
        <w:spacing w:line="480" w:lineRule="auto"/>
        <w:rPr>
          <w:sz w:val="24"/>
          <w:szCs w:val="24"/>
        </w:rPr>
      </w:pPr>
      <w:r>
        <w:rPr>
          <w:rFonts w:hint="eastAsia" w:ascii="宋体" w:hAnsi="宋体" w:cs="宋体"/>
          <w:color w:val="000000"/>
          <w:sz w:val="24"/>
          <w:szCs w:val="24"/>
          <w:shd w:val="clear" w:color="auto" w:fill="FFFFFF"/>
        </w:rPr>
        <w:t>　　</w:t>
      </w:r>
      <w:r>
        <w:rPr>
          <w:rFonts w:hint="eastAsia"/>
          <w:sz w:val="24"/>
          <w:szCs w:val="24"/>
        </w:rPr>
        <w:t>一、根据《中华人民共和国中小企业促进法》和《国务院关于进一步促进中小企业发展的若干意见》(国发〔2009〕36号)，制定本规定。</w:t>
      </w:r>
    </w:p>
    <w:p w14:paraId="4B766289">
      <w:pPr>
        <w:spacing w:line="480" w:lineRule="auto"/>
        <w:rPr>
          <w:sz w:val="24"/>
          <w:szCs w:val="24"/>
        </w:rPr>
      </w:pPr>
      <w:r>
        <w:rPr>
          <w:rFonts w:hint="eastAsia"/>
          <w:sz w:val="24"/>
          <w:szCs w:val="24"/>
        </w:rPr>
        <w:t>　　二、中小企业划分为中型、小型、微型三种类型，具体标准根据企业从业人员、营业收入、资产总额等指标，结合行业特点制定。</w:t>
      </w:r>
    </w:p>
    <w:p w14:paraId="17AEEC40">
      <w:pPr>
        <w:spacing w:line="480" w:lineRule="auto"/>
        <w:rPr>
          <w:sz w:val="24"/>
          <w:szCs w:val="24"/>
        </w:rPr>
      </w:pPr>
      <w:r>
        <w:rPr>
          <w:rFonts w:hint="eastAsia"/>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CAA1BDB">
      <w:pPr>
        <w:spacing w:line="480" w:lineRule="auto"/>
        <w:rPr>
          <w:sz w:val="24"/>
          <w:szCs w:val="24"/>
        </w:rPr>
      </w:pPr>
      <w:r>
        <w:rPr>
          <w:rFonts w:hint="eastAsia"/>
          <w:sz w:val="24"/>
          <w:szCs w:val="24"/>
        </w:rPr>
        <w:t>　　四、各行业划型标准为：</w:t>
      </w:r>
    </w:p>
    <w:p w14:paraId="14FB7AC6">
      <w:pPr>
        <w:spacing w:line="480" w:lineRule="auto"/>
        <w:rPr>
          <w:sz w:val="24"/>
          <w:szCs w:val="24"/>
        </w:rPr>
      </w:pPr>
      <w:r>
        <w:rPr>
          <w:rFonts w:hint="eastAsia"/>
          <w:sz w:val="24"/>
          <w:szCs w:val="24"/>
        </w:rPr>
        <w:t>　　（一）农、林、牧、渔业。营业收入20000万元以下的为中小微型企业。其中，营业收入500万元及以上的为中型企业，营业收入50万元及以上的为小型企业，营业收入50万元以下的为微型企业。</w:t>
      </w:r>
    </w:p>
    <w:p w14:paraId="0EA1CC15">
      <w:pPr>
        <w:spacing w:line="480" w:lineRule="auto"/>
        <w:rPr>
          <w:sz w:val="24"/>
          <w:szCs w:val="24"/>
        </w:rPr>
      </w:pPr>
      <w:r>
        <w:rPr>
          <w:rFonts w:hint="eastAsia"/>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01F0669">
      <w:pPr>
        <w:spacing w:line="480" w:lineRule="auto"/>
        <w:rPr>
          <w:sz w:val="24"/>
          <w:szCs w:val="24"/>
        </w:rPr>
      </w:pPr>
      <w:r>
        <w:rPr>
          <w:rFonts w:hint="eastAsia"/>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145E09A">
      <w:pPr>
        <w:spacing w:line="480" w:lineRule="auto"/>
        <w:rPr>
          <w:sz w:val="24"/>
          <w:szCs w:val="24"/>
        </w:rPr>
      </w:pPr>
      <w:r>
        <w:rPr>
          <w:rFonts w:hint="eastAsia"/>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0C67AE5">
      <w:pPr>
        <w:spacing w:line="480" w:lineRule="auto"/>
        <w:rPr>
          <w:sz w:val="24"/>
          <w:szCs w:val="24"/>
        </w:rPr>
      </w:pPr>
      <w:r>
        <w:rPr>
          <w:rFonts w:hint="eastAsia"/>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9655BE9">
      <w:pPr>
        <w:spacing w:line="480" w:lineRule="auto"/>
        <w:rPr>
          <w:sz w:val="24"/>
          <w:szCs w:val="24"/>
        </w:rPr>
      </w:pPr>
      <w:r>
        <w:rPr>
          <w:rFonts w:hint="eastAsia"/>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083E6BE">
      <w:pPr>
        <w:spacing w:line="480" w:lineRule="auto"/>
        <w:rPr>
          <w:sz w:val="24"/>
          <w:szCs w:val="24"/>
        </w:rPr>
      </w:pPr>
      <w:r>
        <w:rPr>
          <w:rFonts w:hint="eastAsia"/>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F37CC7C">
      <w:pPr>
        <w:spacing w:line="480" w:lineRule="auto"/>
        <w:rPr>
          <w:sz w:val="24"/>
          <w:szCs w:val="24"/>
        </w:rPr>
      </w:pPr>
      <w:r>
        <w:rPr>
          <w:rFonts w:hint="eastAsia"/>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AC7322">
      <w:pPr>
        <w:spacing w:line="480" w:lineRule="auto"/>
        <w:rPr>
          <w:sz w:val="24"/>
          <w:szCs w:val="24"/>
        </w:rPr>
      </w:pPr>
      <w:r>
        <w:rPr>
          <w:rFonts w:hint="eastAsia"/>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C9C123">
      <w:pPr>
        <w:spacing w:line="480" w:lineRule="auto"/>
        <w:rPr>
          <w:sz w:val="24"/>
          <w:szCs w:val="24"/>
        </w:rPr>
      </w:pPr>
      <w:r>
        <w:rPr>
          <w:rFonts w:hint="eastAsia"/>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B0310C4">
      <w:pPr>
        <w:spacing w:line="480" w:lineRule="auto"/>
        <w:rPr>
          <w:sz w:val="24"/>
          <w:szCs w:val="24"/>
        </w:rPr>
      </w:pPr>
      <w:r>
        <w:rPr>
          <w:rFonts w:hint="eastAsia"/>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FA6F9C2">
      <w:pPr>
        <w:spacing w:line="480" w:lineRule="auto"/>
        <w:rPr>
          <w:sz w:val="24"/>
          <w:szCs w:val="24"/>
        </w:rPr>
      </w:pPr>
      <w:r>
        <w:rPr>
          <w:rFonts w:hint="eastAsia"/>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3C8570D">
      <w:pPr>
        <w:spacing w:line="480" w:lineRule="auto"/>
        <w:rPr>
          <w:sz w:val="24"/>
          <w:szCs w:val="24"/>
        </w:rPr>
      </w:pPr>
      <w:r>
        <w:rPr>
          <w:rFonts w:hint="eastAsia"/>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7C063D1">
      <w:pPr>
        <w:spacing w:line="480" w:lineRule="auto"/>
        <w:rPr>
          <w:sz w:val="24"/>
          <w:szCs w:val="24"/>
        </w:rPr>
      </w:pPr>
      <w:r>
        <w:rPr>
          <w:rFonts w:hint="eastAsia"/>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AC21774">
      <w:pPr>
        <w:spacing w:line="480" w:lineRule="auto"/>
        <w:rPr>
          <w:sz w:val="24"/>
          <w:szCs w:val="24"/>
        </w:rPr>
      </w:pPr>
      <w:r>
        <w:rPr>
          <w:rFonts w:hint="eastAsia"/>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30A7E67">
      <w:pPr>
        <w:spacing w:line="480" w:lineRule="auto"/>
        <w:rPr>
          <w:sz w:val="24"/>
          <w:szCs w:val="24"/>
        </w:rPr>
      </w:pPr>
      <w:r>
        <w:rPr>
          <w:rFonts w:hint="eastAsia"/>
          <w:sz w:val="24"/>
          <w:szCs w:val="24"/>
        </w:rPr>
        <w:t>　　（十六）其他未列明行业。从业人员300人以下的为中小微型企业。其中，从业人员100人及以上的为中型企业；从业人员10人及以上的为小型企业；从业人员10人以下的为微型企业。</w:t>
      </w:r>
    </w:p>
    <w:p w14:paraId="04A01747">
      <w:pPr>
        <w:spacing w:line="480" w:lineRule="auto"/>
        <w:rPr>
          <w:sz w:val="24"/>
          <w:szCs w:val="24"/>
        </w:rPr>
      </w:pPr>
      <w:r>
        <w:rPr>
          <w:rFonts w:hint="eastAsia"/>
          <w:sz w:val="24"/>
          <w:szCs w:val="24"/>
        </w:rPr>
        <w:t>　　五、企业类型的划分以统计部门的统计数据为依据。</w:t>
      </w:r>
    </w:p>
    <w:p w14:paraId="0CA9BAD0">
      <w:pPr>
        <w:spacing w:line="480" w:lineRule="auto"/>
        <w:rPr>
          <w:sz w:val="24"/>
          <w:szCs w:val="24"/>
        </w:rPr>
      </w:pPr>
      <w:r>
        <w:rPr>
          <w:rFonts w:hint="eastAsia"/>
          <w:sz w:val="24"/>
          <w:szCs w:val="24"/>
        </w:rPr>
        <w:t>　　六、本规定适用于在中华人民共和国境内依法设立的各类所有制和各种组织形式的企业。个体工商户和本规定以外的行业，参照本规定进行划型。</w:t>
      </w:r>
    </w:p>
    <w:p w14:paraId="667083FE">
      <w:pPr>
        <w:spacing w:line="480" w:lineRule="auto"/>
        <w:rPr>
          <w:sz w:val="24"/>
          <w:szCs w:val="24"/>
        </w:rPr>
      </w:pPr>
      <w:r>
        <w:rPr>
          <w:rFonts w:hint="eastAsia"/>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p>
    <w:p w14:paraId="05849D97">
      <w:pPr>
        <w:spacing w:line="480" w:lineRule="auto"/>
        <w:rPr>
          <w:sz w:val="24"/>
          <w:szCs w:val="24"/>
        </w:rPr>
      </w:pPr>
      <w:r>
        <w:rPr>
          <w:rFonts w:hint="eastAsia"/>
          <w:sz w:val="24"/>
          <w:szCs w:val="24"/>
        </w:rPr>
        <w:t>　　八、本规定由工业和信息化部、国家统计局会同有关部门根据《国民经济行业分类》修订情况和企业发展变化情况适时修订。</w:t>
      </w:r>
    </w:p>
    <w:p w14:paraId="4B9E5610">
      <w:pPr>
        <w:spacing w:line="480" w:lineRule="auto"/>
        <w:rPr>
          <w:sz w:val="24"/>
          <w:szCs w:val="24"/>
        </w:rPr>
      </w:pPr>
      <w:r>
        <w:rPr>
          <w:rFonts w:hint="eastAsia"/>
          <w:sz w:val="24"/>
          <w:szCs w:val="24"/>
        </w:rPr>
        <w:t>　　九、本规定由工业和信息化部、国家统计局会同有关部门负责解释。</w:t>
      </w:r>
    </w:p>
    <w:p w14:paraId="14588419">
      <w:pPr>
        <w:spacing w:line="480" w:lineRule="auto"/>
        <w:rPr>
          <w:sz w:val="24"/>
          <w:szCs w:val="24"/>
        </w:rPr>
      </w:pPr>
      <w:r>
        <w:rPr>
          <w:rFonts w:hint="eastAsia"/>
          <w:sz w:val="24"/>
          <w:szCs w:val="24"/>
        </w:rPr>
        <w:t>　　十、本规定自发布之日起执行，原国家经贸委、原国家计委、财政部和国家统计局2003年颁布的《中小企业标准暂行规定》同时废止。</w:t>
      </w:r>
    </w:p>
    <w:sectPr>
      <w:headerReference r:id="rId20" w:type="default"/>
      <w:pgSz w:w="11906" w:h="16838"/>
      <w:pgMar w:top="1440" w:right="1080" w:bottom="1440" w:left="1080"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DejaVuSans">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BB250">
    <w:pPr>
      <w:pStyle w:val="7"/>
      <w:tabs>
        <w:tab w:val="left" w:pos="9540"/>
      </w:tabs>
      <w:wordWrap w:val="0"/>
      <w:ind w:right="360" w:firstLine="360"/>
      <w:jc w:val="right"/>
      <w:rPr>
        <w:rFonts w:hint="eastAsia" w:ascii="宋体" w:hAnsi="宋体"/>
        <w:szCs w:val="21"/>
      </w:rPr>
    </w:pPr>
    <w:r>
      <w:rPr>
        <w:rFonts w:hint="eastAsia" w:ascii="宋体" w:hAnsi="宋体"/>
        <w:szCs w:val="21"/>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BF9B">
    <w:pPr>
      <w:spacing w:line="201" w:lineRule="auto"/>
      <w:ind w:left="4548"/>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7AFAF5">
                          <w:pPr>
                            <w:pStyle w:val="12"/>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057AFAF5">
                    <w:pPr>
                      <w:pStyle w:val="12"/>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BCCB">
    <w:pPr>
      <w:pStyle w:val="7"/>
      <w:framePr w:wrap="around" w:vAnchor="text" w:hAnchor="margin" w:xAlign="center" w:y="1"/>
    </w:pPr>
    <w:r>
      <w:fldChar w:fldCharType="begin"/>
    </w:r>
    <w:r>
      <w:instrText xml:space="preserve">PAGE  </w:instrText>
    </w:r>
    <w:r>
      <w:fldChar w:fldCharType="separate"/>
    </w:r>
    <w:r>
      <w:t>- 30 -</w:t>
    </w:r>
    <w:r>
      <w:fldChar w:fldCharType="end"/>
    </w:r>
  </w:p>
  <w:p w14:paraId="7426A2F7">
    <w:pPr>
      <w:pStyle w:val="7"/>
      <w:framePr w:wrap="around" w:vAnchor="text" w:hAnchor="margin" w:xAlign="right" w:y="1"/>
      <w:ind w:right="360" w:firstLine="360"/>
    </w:pPr>
  </w:p>
  <w:p w14:paraId="0946DB2A">
    <w:pPr>
      <w:pStyle w:val="7"/>
      <w:ind w:right="360" w:firstLine="360"/>
      <w:rPr>
        <w:rFonts w:eastAsia="仿宋_GB2312"/>
      </w:rPr>
    </w:pPr>
    <w:r>
      <w:rPr>
        <w:rFonts w:hint="eastAsia" w:ascii="仿宋_GB2312" w:eastAsia="仿宋_GB2312"/>
      </w:rPr>
      <w:t xml:space="preserve">                                                                     中建鼎正项目管理有限公司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14517">
    <w:pPr>
      <w:pStyle w:val="7"/>
      <w:tabs>
        <w:tab w:val="center" w:pos="4819"/>
        <w:tab w:val="left" w:pos="9540"/>
      </w:tabs>
      <w:ind w:right="360"/>
      <w:rPr>
        <w:rFonts w:hint="eastAsia" w:ascii="宋体" w:hAnsi="宋体"/>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1446F">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67E0B">
    <w:pPr>
      <w:pStyle w:val="12"/>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57E3C">
    <w:pPr>
      <w:spacing w:line="201" w:lineRule="auto"/>
      <w:rPr>
        <w:rFonts w:ascii="Arial" w:hAnsi="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FC1E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78FC1E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9D208">
    <w:pPr>
      <w:spacing w:line="201" w:lineRule="auto"/>
      <w:ind w:left="4548"/>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5AEFA">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565AEFA">
                    <w:pPr>
                      <w:pStyle w:val="12"/>
                    </w:pPr>
                    <w:r>
                      <w:fldChar w:fldCharType="begin"/>
                    </w:r>
                    <w:r>
                      <w:instrText xml:space="preserve"> PAGE  \* MERGEFORMAT </w:instrText>
                    </w:r>
                    <w:r>
                      <w:fldChar w:fldCharType="separate"/>
                    </w:r>
                    <w:r>
                      <w:t>35</w:t>
                    </w:r>
                    <w:r>
                      <w:fldChar w:fldCharType="end"/>
                    </w:r>
                  </w:p>
                </w:txbxContent>
              </v:textbox>
            </v:shape>
          </w:pict>
        </mc:Fallback>
      </mc:AlternateContent>
    </w:r>
    <w:r>
      <w:rPr>
        <w:rFonts w:ascii="Arial" w:hAnsi="Arial" w:eastAsia="Arial" w:cs="Arial"/>
        <w:spacing w:val="7"/>
        <w:sz w:val="18"/>
        <w:szCs w:val="18"/>
      </w:rPr>
      <w:t>5</w:t>
    </w:r>
    <w:r>
      <w:rPr>
        <w:rFonts w:ascii="Arial" w:hAnsi="Arial" w:eastAsia="Arial" w:cs="Arial"/>
        <w:spacing w:val="6"/>
        <w:sz w:val="18"/>
        <w:szCs w:val="18"/>
      </w:rPr>
      <w:t>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05F56">
    <w:pPr>
      <w:pStyle w:val="12"/>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1DB1E5">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D1DB1E5">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AA006">
    <w:pPr>
      <w:pStyle w:val="12"/>
      <w:jc w:val="right"/>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3E092">
                          <w:pPr>
                            <w:pStyle w:val="1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633E092">
                    <w:pPr>
                      <w:pStyle w:val="12"/>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C7F07">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9E750">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3A8DF">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A8BE6">
    <w:pPr>
      <w:pStyle w:val="13"/>
      <w:pBdr>
        <w:top w:val="none" w:color="auto" w:sz="0" w:space="1"/>
        <w:left w:val="none" w:color="auto" w:sz="0" w:space="4"/>
        <w:bottom w:val="none" w:color="auto" w:sz="0" w:space="4"/>
        <w:right w:val="none" w:color="auto" w:sz="0" w:space="4"/>
      </w:pBdr>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47B24">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A2CFC">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44882">
    <w:pPr>
      <w:pStyle w:val="13"/>
      <w:pBdr>
        <w:bottom w:val="none" w:color="auto" w:sz="0" w:space="1"/>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F8049">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4E9631"/>
    <w:multiLevelType w:val="singleLevel"/>
    <w:tmpl w:val="9D4E9631"/>
    <w:lvl w:ilvl="0" w:tentative="0">
      <w:start w:val="2"/>
      <w:numFmt w:val="chineseCounting"/>
      <w:suff w:val="nothing"/>
      <w:lvlText w:val="%1、"/>
      <w:lvlJc w:val="left"/>
      <w:rPr>
        <w:rFonts w:hint="eastAsia"/>
      </w:rPr>
    </w:lvl>
  </w:abstractNum>
  <w:abstractNum w:abstractNumId="1">
    <w:nsid w:val="A101BE4B"/>
    <w:multiLevelType w:val="singleLevel"/>
    <w:tmpl w:val="A101BE4B"/>
    <w:lvl w:ilvl="0" w:tentative="0">
      <w:start w:val="1"/>
      <w:numFmt w:val="decimal"/>
      <w:lvlText w:val="%1."/>
      <w:lvlJc w:val="left"/>
      <w:pPr>
        <w:tabs>
          <w:tab w:val="left" w:pos="312"/>
        </w:tabs>
      </w:pPr>
    </w:lvl>
  </w:abstractNum>
  <w:abstractNum w:abstractNumId="2">
    <w:nsid w:val="A139CBBA"/>
    <w:multiLevelType w:val="singleLevel"/>
    <w:tmpl w:val="A139CBBA"/>
    <w:lvl w:ilvl="0" w:tentative="0">
      <w:start w:val="1"/>
      <w:numFmt w:val="decimal"/>
      <w:suff w:val="nothing"/>
      <w:lvlText w:val="%1、"/>
      <w:lvlJc w:val="left"/>
    </w:lvl>
  </w:abstractNum>
  <w:abstractNum w:abstractNumId="3">
    <w:nsid w:val="CFB502AB"/>
    <w:multiLevelType w:val="singleLevel"/>
    <w:tmpl w:val="CFB502AB"/>
    <w:lvl w:ilvl="0" w:tentative="0">
      <w:start w:val="1"/>
      <w:numFmt w:val="decimal"/>
      <w:lvlText w:val="%1."/>
      <w:lvlJc w:val="left"/>
      <w:pPr>
        <w:tabs>
          <w:tab w:val="left" w:pos="312"/>
        </w:tabs>
      </w:pPr>
    </w:lvl>
  </w:abstractNum>
  <w:abstractNum w:abstractNumId="4">
    <w:nsid w:val="D7D534C3"/>
    <w:multiLevelType w:val="singleLevel"/>
    <w:tmpl w:val="D7D534C3"/>
    <w:lvl w:ilvl="0" w:tentative="0">
      <w:start w:val="1"/>
      <w:numFmt w:val="decimal"/>
      <w:lvlText w:val="%1."/>
      <w:lvlJc w:val="left"/>
      <w:pPr>
        <w:tabs>
          <w:tab w:val="left" w:pos="312"/>
        </w:tabs>
      </w:pPr>
      <w:rPr>
        <w:rFonts w:hint="default" w:ascii="宋体" w:hAnsi="宋体" w:eastAsia="宋体" w:cs="宋体"/>
        <w:sz w:val="24"/>
        <w:szCs w:val="24"/>
      </w:rPr>
    </w:lvl>
  </w:abstractNum>
  <w:abstractNum w:abstractNumId="5">
    <w:nsid w:val="E1C8A90E"/>
    <w:multiLevelType w:val="singleLevel"/>
    <w:tmpl w:val="E1C8A90E"/>
    <w:lvl w:ilvl="0" w:tentative="0">
      <w:start w:val="4"/>
      <w:numFmt w:val="chineseCounting"/>
      <w:suff w:val="space"/>
      <w:lvlText w:val="第%1章"/>
      <w:lvlJc w:val="left"/>
      <w:rPr>
        <w:rFonts w:hint="eastAsia"/>
      </w:rPr>
    </w:lvl>
  </w:abstractNum>
  <w:abstractNum w:abstractNumId="6">
    <w:nsid w:val="E8D64B8F"/>
    <w:multiLevelType w:val="singleLevel"/>
    <w:tmpl w:val="E8D64B8F"/>
    <w:lvl w:ilvl="0" w:tentative="0">
      <w:start w:val="10"/>
      <w:numFmt w:val="chineseCounting"/>
      <w:suff w:val="nothing"/>
      <w:lvlText w:val="%1、"/>
      <w:lvlJc w:val="left"/>
      <w:rPr>
        <w:rFonts w:hint="eastAsia"/>
      </w:rPr>
    </w:lvl>
  </w:abstractNum>
  <w:abstractNum w:abstractNumId="7">
    <w:nsid w:val="004EC816"/>
    <w:multiLevelType w:val="singleLevel"/>
    <w:tmpl w:val="004EC816"/>
    <w:lvl w:ilvl="0" w:tentative="0">
      <w:start w:val="1"/>
      <w:numFmt w:val="chineseCounting"/>
      <w:suff w:val="nothing"/>
      <w:lvlText w:val="%1、"/>
      <w:lvlJc w:val="left"/>
      <w:rPr>
        <w:rFonts w:hint="eastAsia"/>
      </w:rPr>
    </w:lvl>
  </w:abstractNum>
  <w:abstractNum w:abstractNumId="8">
    <w:nsid w:val="24A2B5AD"/>
    <w:multiLevelType w:val="singleLevel"/>
    <w:tmpl w:val="24A2B5AD"/>
    <w:lvl w:ilvl="0" w:tentative="0">
      <w:start w:val="1"/>
      <w:numFmt w:val="decimal"/>
      <w:suff w:val="space"/>
      <w:lvlText w:val="%1."/>
      <w:lvlJc w:val="left"/>
    </w:lvl>
  </w:abstractNum>
  <w:abstractNum w:abstractNumId="9">
    <w:nsid w:val="34BB469C"/>
    <w:multiLevelType w:val="singleLevel"/>
    <w:tmpl w:val="34BB469C"/>
    <w:lvl w:ilvl="0" w:tentative="0">
      <w:start w:val="1"/>
      <w:numFmt w:val="decimal"/>
      <w:suff w:val="nothing"/>
      <w:lvlText w:val="%1、"/>
      <w:lvlJc w:val="left"/>
    </w:lvl>
  </w:abstractNum>
  <w:abstractNum w:abstractNumId="10">
    <w:nsid w:val="421141CA"/>
    <w:multiLevelType w:val="singleLevel"/>
    <w:tmpl w:val="421141CA"/>
    <w:lvl w:ilvl="0" w:tentative="0">
      <w:start w:val="15"/>
      <w:numFmt w:val="decimal"/>
      <w:suff w:val="space"/>
      <w:lvlText w:val="%1."/>
      <w:lvlJc w:val="left"/>
    </w:lvl>
  </w:abstractNum>
  <w:abstractNum w:abstractNumId="11">
    <w:nsid w:val="74E5594D"/>
    <w:multiLevelType w:val="multilevel"/>
    <w:tmpl w:val="74E5594D"/>
    <w:lvl w:ilvl="0" w:tentative="0">
      <w:start w:val="1"/>
      <w:numFmt w:val="japaneseCounting"/>
      <w:lvlText w:val="%1、"/>
      <w:lvlJc w:val="left"/>
      <w:pPr>
        <w:ind w:left="534" w:hanging="429"/>
      </w:pPr>
      <w:rPr>
        <w:rFonts w:hint="default"/>
      </w:rPr>
    </w:lvl>
    <w:lvl w:ilvl="1" w:tentative="0">
      <w:start w:val="1"/>
      <w:numFmt w:val="lowerLetter"/>
      <w:lvlText w:val="%2)"/>
      <w:lvlJc w:val="left"/>
      <w:pPr>
        <w:ind w:left="985" w:hanging="440"/>
      </w:pPr>
    </w:lvl>
    <w:lvl w:ilvl="2" w:tentative="0">
      <w:start w:val="1"/>
      <w:numFmt w:val="lowerRoman"/>
      <w:lvlText w:val="%3."/>
      <w:lvlJc w:val="right"/>
      <w:pPr>
        <w:ind w:left="1425" w:hanging="440"/>
      </w:pPr>
    </w:lvl>
    <w:lvl w:ilvl="3" w:tentative="0">
      <w:start w:val="1"/>
      <w:numFmt w:val="decimal"/>
      <w:lvlText w:val="%4."/>
      <w:lvlJc w:val="left"/>
      <w:pPr>
        <w:ind w:left="1865" w:hanging="440"/>
      </w:pPr>
    </w:lvl>
    <w:lvl w:ilvl="4" w:tentative="0">
      <w:start w:val="1"/>
      <w:numFmt w:val="lowerLetter"/>
      <w:lvlText w:val="%5)"/>
      <w:lvlJc w:val="left"/>
      <w:pPr>
        <w:ind w:left="2305" w:hanging="440"/>
      </w:pPr>
    </w:lvl>
    <w:lvl w:ilvl="5" w:tentative="0">
      <w:start w:val="1"/>
      <w:numFmt w:val="lowerRoman"/>
      <w:lvlText w:val="%6."/>
      <w:lvlJc w:val="right"/>
      <w:pPr>
        <w:ind w:left="2745" w:hanging="440"/>
      </w:pPr>
    </w:lvl>
    <w:lvl w:ilvl="6" w:tentative="0">
      <w:start w:val="1"/>
      <w:numFmt w:val="decimal"/>
      <w:lvlText w:val="%7."/>
      <w:lvlJc w:val="left"/>
      <w:pPr>
        <w:ind w:left="3185" w:hanging="440"/>
      </w:pPr>
    </w:lvl>
    <w:lvl w:ilvl="7" w:tentative="0">
      <w:start w:val="1"/>
      <w:numFmt w:val="lowerLetter"/>
      <w:lvlText w:val="%8)"/>
      <w:lvlJc w:val="left"/>
      <w:pPr>
        <w:ind w:left="3625" w:hanging="440"/>
      </w:pPr>
    </w:lvl>
    <w:lvl w:ilvl="8" w:tentative="0">
      <w:start w:val="1"/>
      <w:numFmt w:val="lowerRoman"/>
      <w:lvlText w:val="%9."/>
      <w:lvlJc w:val="right"/>
      <w:pPr>
        <w:ind w:left="4065" w:hanging="440"/>
      </w:pPr>
    </w:lvl>
  </w:abstractNum>
  <w:num w:numId="1">
    <w:abstractNumId w:val="10"/>
  </w:num>
  <w:num w:numId="2">
    <w:abstractNumId w:val="5"/>
  </w:num>
  <w:num w:numId="3">
    <w:abstractNumId w:val="0"/>
  </w:num>
  <w:num w:numId="4">
    <w:abstractNumId w:val="7"/>
  </w:num>
  <w:num w:numId="5">
    <w:abstractNumId w:val="11"/>
  </w:num>
  <w:num w:numId="6">
    <w:abstractNumId w:val="1"/>
  </w:num>
  <w:num w:numId="7">
    <w:abstractNumId w:val="6"/>
  </w:num>
  <w:num w:numId="8">
    <w:abstractNumId w:val="3"/>
  </w:num>
  <w:num w:numId="9">
    <w:abstractNumId w:val="4"/>
  </w:num>
  <w:num w:numId="10">
    <w:abstractNumId w:val="2"/>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YWNmOGMyMGJlZTQwMjM5ZjMwMjkzZWQ0NzU5ZDUifQ=="/>
  </w:docVars>
  <w:rsids>
    <w:rsidRoot w:val="00172A27"/>
    <w:rsid w:val="00003E9D"/>
    <w:rsid w:val="000108C2"/>
    <w:rsid w:val="000249A4"/>
    <w:rsid w:val="000404C1"/>
    <w:rsid w:val="00045781"/>
    <w:rsid w:val="00053A7C"/>
    <w:rsid w:val="00055C25"/>
    <w:rsid w:val="00061395"/>
    <w:rsid w:val="00067FFB"/>
    <w:rsid w:val="000F2C1B"/>
    <w:rsid w:val="00124B8D"/>
    <w:rsid w:val="00125FBC"/>
    <w:rsid w:val="00141923"/>
    <w:rsid w:val="00143E47"/>
    <w:rsid w:val="00145EF7"/>
    <w:rsid w:val="00156C8B"/>
    <w:rsid w:val="00156EDE"/>
    <w:rsid w:val="00172A27"/>
    <w:rsid w:val="001B68BE"/>
    <w:rsid w:val="001C0B93"/>
    <w:rsid w:val="001C6231"/>
    <w:rsid w:val="001E6F7F"/>
    <w:rsid w:val="001F490C"/>
    <w:rsid w:val="0021113D"/>
    <w:rsid w:val="0022413F"/>
    <w:rsid w:val="00271D23"/>
    <w:rsid w:val="0028654D"/>
    <w:rsid w:val="00296C16"/>
    <w:rsid w:val="00310A92"/>
    <w:rsid w:val="0031707E"/>
    <w:rsid w:val="003224A4"/>
    <w:rsid w:val="003432EB"/>
    <w:rsid w:val="00352D96"/>
    <w:rsid w:val="0039338E"/>
    <w:rsid w:val="003A4DB8"/>
    <w:rsid w:val="003B43FD"/>
    <w:rsid w:val="004319B1"/>
    <w:rsid w:val="0045098D"/>
    <w:rsid w:val="00481A1B"/>
    <w:rsid w:val="004979D7"/>
    <w:rsid w:val="004B70E7"/>
    <w:rsid w:val="004C2644"/>
    <w:rsid w:val="00501EE6"/>
    <w:rsid w:val="00535F9C"/>
    <w:rsid w:val="005533AB"/>
    <w:rsid w:val="005977BA"/>
    <w:rsid w:val="005A360E"/>
    <w:rsid w:val="005C0243"/>
    <w:rsid w:val="005C4285"/>
    <w:rsid w:val="005C648F"/>
    <w:rsid w:val="005E101B"/>
    <w:rsid w:val="005E1028"/>
    <w:rsid w:val="005F19B1"/>
    <w:rsid w:val="005F7251"/>
    <w:rsid w:val="00604BD4"/>
    <w:rsid w:val="0062641C"/>
    <w:rsid w:val="00642079"/>
    <w:rsid w:val="006523B5"/>
    <w:rsid w:val="00690770"/>
    <w:rsid w:val="006B5994"/>
    <w:rsid w:val="006F25C3"/>
    <w:rsid w:val="00732530"/>
    <w:rsid w:val="0074039E"/>
    <w:rsid w:val="00742C5A"/>
    <w:rsid w:val="007B451E"/>
    <w:rsid w:val="007D597E"/>
    <w:rsid w:val="0082593E"/>
    <w:rsid w:val="00886798"/>
    <w:rsid w:val="008873D6"/>
    <w:rsid w:val="0089375F"/>
    <w:rsid w:val="008D22FF"/>
    <w:rsid w:val="009A13B3"/>
    <w:rsid w:val="009D2E7A"/>
    <w:rsid w:val="009D5AA7"/>
    <w:rsid w:val="009E2925"/>
    <w:rsid w:val="009F7452"/>
    <w:rsid w:val="00A0799B"/>
    <w:rsid w:val="00A17198"/>
    <w:rsid w:val="00A861D0"/>
    <w:rsid w:val="00A944E0"/>
    <w:rsid w:val="00AE6D0B"/>
    <w:rsid w:val="00B008CE"/>
    <w:rsid w:val="00B071CC"/>
    <w:rsid w:val="00B12267"/>
    <w:rsid w:val="00B31D78"/>
    <w:rsid w:val="00B470FC"/>
    <w:rsid w:val="00B87A8B"/>
    <w:rsid w:val="00B97EDB"/>
    <w:rsid w:val="00BA149E"/>
    <w:rsid w:val="00BA5924"/>
    <w:rsid w:val="00BB6BEA"/>
    <w:rsid w:val="00BF0687"/>
    <w:rsid w:val="00BF6B2C"/>
    <w:rsid w:val="00C11E6C"/>
    <w:rsid w:val="00C4222B"/>
    <w:rsid w:val="00C45CB9"/>
    <w:rsid w:val="00C906FF"/>
    <w:rsid w:val="00C94E32"/>
    <w:rsid w:val="00CE6157"/>
    <w:rsid w:val="00D0329D"/>
    <w:rsid w:val="00D4780B"/>
    <w:rsid w:val="00D54D06"/>
    <w:rsid w:val="00D557E9"/>
    <w:rsid w:val="00D71C12"/>
    <w:rsid w:val="00DA2CDC"/>
    <w:rsid w:val="00DF50AE"/>
    <w:rsid w:val="00E336A5"/>
    <w:rsid w:val="00E56324"/>
    <w:rsid w:val="00E75EC3"/>
    <w:rsid w:val="00E76C8D"/>
    <w:rsid w:val="00E848D8"/>
    <w:rsid w:val="00EA1AF0"/>
    <w:rsid w:val="00EA5814"/>
    <w:rsid w:val="00ED3D15"/>
    <w:rsid w:val="00ED3E93"/>
    <w:rsid w:val="00F17645"/>
    <w:rsid w:val="00F44849"/>
    <w:rsid w:val="00F44FFD"/>
    <w:rsid w:val="00F5717D"/>
    <w:rsid w:val="00F572D7"/>
    <w:rsid w:val="00F767D8"/>
    <w:rsid w:val="00F81815"/>
    <w:rsid w:val="00FA71F3"/>
    <w:rsid w:val="00FA7C25"/>
    <w:rsid w:val="00FB3778"/>
    <w:rsid w:val="00FF41C9"/>
    <w:rsid w:val="018A6D55"/>
    <w:rsid w:val="018C2E93"/>
    <w:rsid w:val="01BD341E"/>
    <w:rsid w:val="01C52A70"/>
    <w:rsid w:val="01CB32F8"/>
    <w:rsid w:val="01EC4A64"/>
    <w:rsid w:val="021D31A3"/>
    <w:rsid w:val="02427F54"/>
    <w:rsid w:val="027968FC"/>
    <w:rsid w:val="028C627A"/>
    <w:rsid w:val="02D50705"/>
    <w:rsid w:val="02DE3109"/>
    <w:rsid w:val="02F3367D"/>
    <w:rsid w:val="031E15C9"/>
    <w:rsid w:val="03214C28"/>
    <w:rsid w:val="032E21ED"/>
    <w:rsid w:val="03394107"/>
    <w:rsid w:val="0340619D"/>
    <w:rsid w:val="036E7AD4"/>
    <w:rsid w:val="037E6D6A"/>
    <w:rsid w:val="038A36B8"/>
    <w:rsid w:val="038C1917"/>
    <w:rsid w:val="039A3B54"/>
    <w:rsid w:val="03A13629"/>
    <w:rsid w:val="03A55011"/>
    <w:rsid w:val="03AB0A69"/>
    <w:rsid w:val="03AE7844"/>
    <w:rsid w:val="03B10EED"/>
    <w:rsid w:val="03B65218"/>
    <w:rsid w:val="03B92EA5"/>
    <w:rsid w:val="03E2035D"/>
    <w:rsid w:val="03F31F5B"/>
    <w:rsid w:val="0414147C"/>
    <w:rsid w:val="04217676"/>
    <w:rsid w:val="042E398D"/>
    <w:rsid w:val="04447FB3"/>
    <w:rsid w:val="04842B2B"/>
    <w:rsid w:val="0494241D"/>
    <w:rsid w:val="04C44478"/>
    <w:rsid w:val="04D1736D"/>
    <w:rsid w:val="05015F14"/>
    <w:rsid w:val="05045CFA"/>
    <w:rsid w:val="050F692F"/>
    <w:rsid w:val="05113C4F"/>
    <w:rsid w:val="05584462"/>
    <w:rsid w:val="05735A3A"/>
    <w:rsid w:val="057E25B1"/>
    <w:rsid w:val="05D63A25"/>
    <w:rsid w:val="05E27A84"/>
    <w:rsid w:val="05EF7097"/>
    <w:rsid w:val="060B7A81"/>
    <w:rsid w:val="060F45F1"/>
    <w:rsid w:val="06204757"/>
    <w:rsid w:val="06204B85"/>
    <w:rsid w:val="064A211B"/>
    <w:rsid w:val="06664A58"/>
    <w:rsid w:val="0695319D"/>
    <w:rsid w:val="06A64813"/>
    <w:rsid w:val="06BA7B2D"/>
    <w:rsid w:val="06BB137A"/>
    <w:rsid w:val="06BE1F83"/>
    <w:rsid w:val="06CA277E"/>
    <w:rsid w:val="06F16136"/>
    <w:rsid w:val="06F17A58"/>
    <w:rsid w:val="06F97265"/>
    <w:rsid w:val="0707297D"/>
    <w:rsid w:val="077F3E9A"/>
    <w:rsid w:val="07805BEF"/>
    <w:rsid w:val="07930A17"/>
    <w:rsid w:val="079C7B5C"/>
    <w:rsid w:val="07E10D6B"/>
    <w:rsid w:val="07E70C26"/>
    <w:rsid w:val="081515F8"/>
    <w:rsid w:val="082500FC"/>
    <w:rsid w:val="08340E25"/>
    <w:rsid w:val="083B791F"/>
    <w:rsid w:val="083E4106"/>
    <w:rsid w:val="08656034"/>
    <w:rsid w:val="08AD24D3"/>
    <w:rsid w:val="08C24D94"/>
    <w:rsid w:val="08CB0CA3"/>
    <w:rsid w:val="08E27D9B"/>
    <w:rsid w:val="090C438D"/>
    <w:rsid w:val="09277E8E"/>
    <w:rsid w:val="09457FC5"/>
    <w:rsid w:val="094B1DE4"/>
    <w:rsid w:val="094E36A3"/>
    <w:rsid w:val="095F2A73"/>
    <w:rsid w:val="09772BD9"/>
    <w:rsid w:val="097F383C"/>
    <w:rsid w:val="09AB3020"/>
    <w:rsid w:val="09EC1A68"/>
    <w:rsid w:val="0A116C3C"/>
    <w:rsid w:val="0A326203"/>
    <w:rsid w:val="0A343E3A"/>
    <w:rsid w:val="0A66198D"/>
    <w:rsid w:val="0A7B3CF9"/>
    <w:rsid w:val="0A802ECB"/>
    <w:rsid w:val="0AC64238"/>
    <w:rsid w:val="0AF0679F"/>
    <w:rsid w:val="0B4F3554"/>
    <w:rsid w:val="0B515930"/>
    <w:rsid w:val="0B6E61C8"/>
    <w:rsid w:val="0B8F4572"/>
    <w:rsid w:val="0B9C659A"/>
    <w:rsid w:val="0BA41300"/>
    <w:rsid w:val="0BB3527C"/>
    <w:rsid w:val="0BC0320B"/>
    <w:rsid w:val="0C1344FB"/>
    <w:rsid w:val="0C1473F2"/>
    <w:rsid w:val="0C24211F"/>
    <w:rsid w:val="0C98133C"/>
    <w:rsid w:val="0CD11FD4"/>
    <w:rsid w:val="0CDF37AF"/>
    <w:rsid w:val="0CFE30E7"/>
    <w:rsid w:val="0D3229EB"/>
    <w:rsid w:val="0D4E3A91"/>
    <w:rsid w:val="0D7A4772"/>
    <w:rsid w:val="0D864ADA"/>
    <w:rsid w:val="0DB957A1"/>
    <w:rsid w:val="0DC40D6F"/>
    <w:rsid w:val="0DF739C2"/>
    <w:rsid w:val="0E1F1629"/>
    <w:rsid w:val="0E23320D"/>
    <w:rsid w:val="0E244D03"/>
    <w:rsid w:val="0E28071E"/>
    <w:rsid w:val="0E3D648D"/>
    <w:rsid w:val="0E550E35"/>
    <w:rsid w:val="0E5C27BC"/>
    <w:rsid w:val="0E623BB7"/>
    <w:rsid w:val="0E6662F0"/>
    <w:rsid w:val="0E6B38CB"/>
    <w:rsid w:val="0E790865"/>
    <w:rsid w:val="0EB222B3"/>
    <w:rsid w:val="0EC0292C"/>
    <w:rsid w:val="0EDC04F9"/>
    <w:rsid w:val="0EFD1F04"/>
    <w:rsid w:val="0F0E09E8"/>
    <w:rsid w:val="0F0F4D05"/>
    <w:rsid w:val="0F2647F1"/>
    <w:rsid w:val="0F5469D1"/>
    <w:rsid w:val="0F565859"/>
    <w:rsid w:val="0F6E6548"/>
    <w:rsid w:val="0F8320AA"/>
    <w:rsid w:val="0FA57686"/>
    <w:rsid w:val="0FCD1DD5"/>
    <w:rsid w:val="101850BA"/>
    <w:rsid w:val="103C4B2F"/>
    <w:rsid w:val="10401F77"/>
    <w:rsid w:val="106E3246"/>
    <w:rsid w:val="10B10A80"/>
    <w:rsid w:val="10B87C29"/>
    <w:rsid w:val="110A5530"/>
    <w:rsid w:val="113C6524"/>
    <w:rsid w:val="114D7B47"/>
    <w:rsid w:val="114E4CEB"/>
    <w:rsid w:val="117F087D"/>
    <w:rsid w:val="119360D6"/>
    <w:rsid w:val="1196070B"/>
    <w:rsid w:val="11C4119D"/>
    <w:rsid w:val="1209283C"/>
    <w:rsid w:val="1218482D"/>
    <w:rsid w:val="12231C75"/>
    <w:rsid w:val="12486EC1"/>
    <w:rsid w:val="124B09BA"/>
    <w:rsid w:val="127501C9"/>
    <w:rsid w:val="12835259"/>
    <w:rsid w:val="12C16468"/>
    <w:rsid w:val="12D22C2E"/>
    <w:rsid w:val="12D538E2"/>
    <w:rsid w:val="1303611B"/>
    <w:rsid w:val="133C594E"/>
    <w:rsid w:val="13414380"/>
    <w:rsid w:val="13660539"/>
    <w:rsid w:val="138C72A8"/>
    <w:rsid w:val="13A85CB1"/>
    <w:rsid w:val="13B0154C"/>
    <w:rsid w:val="13B912DB"/>
    <w:rsid w:val="13BE7925"/>
    <w:rsid w:val="13BF31B2"/>
    <w:rsid w:val="13EA29CE"/>
    <w:rsid w:val="142E543C"/>
    <w:rsid w:val="14551D69"/>
    <w:rsid w:val="145C0E0F"/>
    <w:rsid w:val="14631E85"/>
    <w:rsid w:val="148A5A85"/>
    <w:rsid w:val="148B5704"/>
    <w:rsid w:val="1492781D"/>
    <w:rsid w:val="149E1354"/>
    <w:rsid w:val="14CE30AB"/>
    <w:rsid w:val="14DB04C0"/>
    <w:rsid w:val="14DD78F7"/>
    <w:rsid w:val="14E35845"/>
    <w:rsid w:val="14F0121B"/>
    <w:rsid w:val="14F82764"/>
    <w:rsid w:val="14F86611"/>
    <w:rsid w:val="14F91FFB"/>
    <w:rsid w:val="15284F26"/>
    <w:rsid w:val="152D26FB"/>
    <w:rsid w:val="1546345F"/>
    <w:rsid w:val="15565F56"/>
    <w:rsid w:val="15576FE4"/>
    <w:rsid w:val="157013DF"/>
    <w:rsid w:val="15750B21"/>
    <w:rsid w:val="15A13A09"/>
    <w:rsid w:val="15A2107A"/>
    <w:rsid w:val="15DD2016"/>
    <w:rsid w:val="162C6C09"/>
    <w:rsid w:val="163C3478"/>
    <w:rsid w:val="165D0938"/>
    <w:rsid w:val="166A7A0B"/>
    <w:rsid w:val="16777D74"/>
    <w:rsid w:val="167A3D2E"/>
    <w:rsid w:val="169C735B"/>
    <w:rsid w:val="16A22690"/>
    <w:rsid w:val="16AF2D7E"/>
    <w:rsid w:val="16B8579F"/>
    <w:rsid w:val="16DE1111"/>
    <w:rsid w:val="16EA6280"/>
    <w:rsid w:val="16FF2507"/>
    <w:rsid w:val="17021B22"/>
    <w:rsid w:val="170A365A"/>
    <w:rsid w:val="170B6E95"/>
    <w:rsid w:val="170F6585"/>
    <w:rsid w:val="1759098C"/>
    <w:rsid w:val="175F6052"/>
    <w:rsid w:val="1775412A"/>
    <w:rsid w:val="177B7D38"/>
    <w:rsid w:val="178C6ABE"/>
    <w:rsid w:val="17B037A3"/>
    <w:rsid w:val="17B635A4"/>
    <w:rsid w:val="17D42946"/>
    <w:rsid w:val="17FB7F88"/>
    <w:rsid w:val="182C3059"/>
    <w:rsid w:val="184B23BE"/>
    <w:rsid w:val="18807773"/>
    <w:rsid w:val="189470F8"/>
    <w:rsid w:val="189613E9"/>
    <w:rsid w:val="18A02C47"/>
    <w:rsid w:val="18B40F9D"/>
    <w:rsid w:val="18C70B28"/>
    <w:rsid w:val="18DC7583"/>
    <w:rsid w:val="19036306"/>
    <w:rsid w:val="193E3DF9"/>
    <w:rsid w:val="194745D2"/>
    <w:rsid w:val="194D4B91"/>
    <w:rsid w:val="19540841"/>
    <w:rsid w:val="195922B7"/>
    <w:rsid w:val="19684ED6"/>
    <w:rsid w:val="198373D5"/>
    <w:rsid w:val="199A0B44"/>
    <w:rsid w:val="19BA3865"/>
    <w:rsid w:val="19D45D4B"/>
    <w:rsid w:val="1A493C6D"/>
    <w:rsid w:val="1A4C59BC"/>
    <w:rsid w:val="1A556FE2"/>
    <w:rsid w:val="1A921D7C"/>
    <w:rsid w:val="1A9E0A76"/>
    <w:rsid w:val="1AAA2D02"/>
    <w:rsid w:val="1AC34DEF"/>
    <w:rsid w:val="1AC94A6E"/>
    <w:rsid w:val="1AD1591E"/>
    <w:rsid w:val="1AEA0851"/>
    <w:rsid w:val="1AF908FD"/>
    <w:rsid w:val="1B042C3E"/>
    <w:rsid w:val="1B6F2CBA"/>
    <w:rsid w:val="1B7F5924"/>
    <w:rsid w:val="1B8053CF"/>
    <w:rsid w:val="1B954A42"/>
    <w:rsid w:val="1B9F5CE7"/>
    <w:rsid w:val="1BA65C67"/>
    <w:rsid w:val="1BA86A64"/>
    <w:rsid w:val="1BAA7F12"/>
    <w:rsid w:val="1BAD4238"/>
    <w:rsid w:val="1BDF401A"/>
    <w:rsid w:val="1BE3216D"/>
    <w:rsid w:val="1C1147C7"/>
    <w:rsid w:val="1C5E4627"/>
    <w:rsid w:val="1C5F36CC"/>
    <w:rsid w:val="1C6E39C8"/>
    <w:rsid w:val="1C8808A6"/>
    <w:rsid w:val="1CA31D4E"/>
    <w:rsid w:val="1CB04447"/>
    <w:rsid w:val="1D0873B1"/>
    <w:rsid w:val="1D1B51B1"/>
    <w:rsid w:val="1D1D701B"/>
    <w:rsid w:val="1D377940"/>
    <w:rsid w:val="1D725739"/>
    <w:rsid w:val="1D7310D0"/>
    <w:rsid w:val="1D990F18"/>
    <w:rsid w:val="1D9C7431"/>
    <w:rsid w:val="1DD75A1F"/>
    <w:rsid w:val="1DFB0CE7"/>
    <w:rsid w:val="1DFC4A23"/>
    <w:rsid w:val="1DFD1C32"/>
    <w:rsid w:val="1E053BCC"/>
    <w:rsid w:val="1E0E6048"/>
    <w:rsid w:val="1E3358E0"/>
    <w:rsid w:val="1E395A00"/>
    <w:rsid w:val="1E454BFC"/>
    <w:rsid w:val="1E4A2212"/>
    <w:rsid w:val="1E4D4C3E"/>
    <w:rsid w:val="1E710A26"/>
    <w:rsid w:val="1EA25D3B"/>
    <w:rsid w:val="1EB22CB4"/>
    <w:rsid w:val="1EBA6D4A"/>
    <w:rsid w:val="1ED930B9"/>
    <w:rsid w:val="1EDA048A"/>
    <w:rsid w:val="1F1116D7"/>
    <w:rsid w:val="1F5C3F9F"/>
    <w:rsid w:val="1F5C5540"/>
    <w:rsid w:val="1FB77754"/>
    <w:rsid w:val="1FFE32B4"/>
    <w:rsid w:val="20015EDA"/>
    <w:rsid w:val="200F6B9F"/>
    <w:rsid w:val="201640ED"/>
    <w:rsid w:val="201D3F63"/>
    <w:rsid w:val="20236CE3"/>
    <w:rsid w:val="20584626"/>
    <w:rsid w:val="2082291B"/>
    <w:rsid w:val="20891FCE"/>
    <w:rsid w:val="209E05F3"/>
    <w:rsid w:val="209F3D41"/>
    <w:rsid w:val="20AA0F7D"/>
    <w:rsid w:val="20C758F3"/>
    <w:rsid w:val="20E109BE"/>
    <w:rsid w:val="20F756A2"/>
    <w:rsid w:val="210768AA"/>
    <w:rsid w:val="212A48AF"/>
    <w:rsid w:val="212C5B40"/>
    <w:rsid w:val="217C4B9D"/>
    <w:rsid w:val="21814378"/>
    <w:rsid w:val="21B6147E"/>
    <w:rsid w:val="21BD0BF3"/>
    <w:rsid w:val="21C872A9"/>
    <w:rsid w:val="21CE7215"/>
    <w:rsid w:val="21EC6D8D"/>
    <w:rsid w:val="22121A64"/>
    <w:rsid w:val="223E3E3C"/>
    <w:rsid w:val="22B06E55"/>
    <w:rsid w:val="22C7782D"/>
    <w:rsid w:val="22DF561F"/>
    <w:rsid w:val="22EE01FF"/>
    <w:rsid w:val="22FA1D7A"/>
    <w:rsid w:val="23471E27"/>
    <w:rsid w:val="23766976"/>
    <w:rsid w:val="23775858"/>
    <w:rsid w:val="237E162F"/>
    <w:rsid w:val="23856B18"/>
    <w:rsid w:val="23906FDC"/>
    <w:rsid w:val="23A31C7A"/>
    <w:rsid w:val="23A711A8"/>
    <w:rsid w:val="23B94CB0"/>
    <w:rsid w:val="23C3077B"/>
    <w:rsid w:val="23FB5355"/>
    <w:rsid w:val="24517F65"/>
    <w:rsid w:val="24AC3202"/>
    <w:rsid w:val="24B23F19"/>
    <w:rsid w:val="24EB6362"/>
    <w:rsid w:val="24F46C02"/>
    <w:rsid w:val="251927EE"/>
    <w:rsid w:val="251C0747"/>
    <w:rsid w:val="256D0DD8"/>
    <w:rsid w:val="258954EA"/>
    <w:rsid w:val="25EA2571"/>
    <w:rsid w:val="26065417"/>
    <w:rsid w:val="2610789E"/>
    <w:rsid w:val="261570F4"/>
    <w:rsid w:val="262E75D3"/>
    <w:rsid w:val="263C0693"/>
    <w:rsid w:val="26482D7A"/>
    <w:rsid w:val="264B63C0"/>
    <w:rsid w:val="2656551B"/>
    <w:rsid w:val="265D6277"/>
    <w:rsid w:val="268E0511"/>
    <w:rsid w:val="269334F0"/>
    <w:rsid w:val="271E619A"/>
    <w:rsid w:val="27435A51"/>
    <w:rsid w:val="274A34CA"/>
    <w:rsid w:val="27AA4063"/>
    <w:rsid w:val="27B9389C"/>
    <w:rsid w:val="27C41069"/>
    <w:rsid w:val="27F356C9"/>
    <w:rsid w:val="281B4AE7"/>
    <w:rsid w:val="281E51E9"/>
    <w:rsid w:val="283D0C9B"/>
    <w:rsid w:val="28483DD1"/>
    <w:rsid w:val="285F7D73"/>
    <w:rsid w:val="287516A9"/>
    <w:rsid w:val="28953046"/>
    <w:rsid w:val="28A82266"/>
    <w:rsid w:val="28B438ED"/>
    <w:rsid w:val="28B51A5C"/>
    <w:rsid w:val="28B97452"/>
    <w:rsid w:val="28FC52BC"/>
    <w:rsid w:val="29436048"/>
    <w:rsid w:val="294B0269"/>
    <w:rsid w:val="295E353B"/>
    <w:rsid w:val="299D28DB"/>
    <w:rsid w:val="29B86432"/>
    <w:rsid w:val="29DC4A18"/>
    <w:rsid w:val="2A3741EF"/>
    <w:rsid w:val="2A6B7798"/>
    <w:rsid w:val="2A9F2773"/>
    <w:rsid w:val="2AAD28B1"/>
    <w:rsid w:val="2AE7423E"/>
    <w:rsid w:val="2AEA6A52"/>
    <w:rsid w:val="2AEF1FD3"/>
    <w:rsid w:val="2B12605F"/>
    <w:rsid w:val="2B1D4D88"/>
    <w:rsid w:val="2B3758CC"/>
    <w:rsid w:val="2B5D3F7C"/>
    <w:rsid w:val="2B933882"/>
    <w:rsid w:val="2BB4440B"/>
    <w:rsid w:val="2BC4479C"/>
    <w:rsid w:val="2BEA0BCA"/>
    <w:rsid w:val="2C08569F"/>
    <w:rsid w:val="2C171A99"/>
    <w:rsid w:val="2C196314"/>
    <w:rsid w:val="2C26034C"/>
    <w:rsid w:val="2C2A2A98"/>
    <w:rsid w:val="2C3A38C6"/>
    <w:rsid w:val="2C464B23"/>
    <w:rsid w:val="2C842D93"/>
    <w:rsid w:val="2C924C4A"/>
    <w:rsid w:val="2C9F641D"/>
    <w:rsid w:val="2CBB1494"/>
    <w:rsid w:val="2CBB6E75"/>
    <w:rsid w:val="2CBE763B"/>
    <w:rsid w:val="2CE00CBB"/>
    <w:rsid w:val="2CED0939"/>
    <w:rsid w:val="2D0636A9"/>
    <w:rsid w:val="2D2834C1"/>
    <w:rsid w:val="2D460049"/>
    <w:rsid w:val="2D4A70BF"/>
    <w:rsid w:val="2D655102"/>
    <w:rsid w:val="2D834DF9"/>
    <w:rsid w:val="2D8D3ECA"/>
    <w:rsid w:val="2DBA4FA6"/>
    <w:rsid w:val="2DC004C5"/>
    <w:rsid w:val="2DCB780F"/>
    <w:rsid w:val="2DD54FBE"/>
    <w:rsid w:val="2DD568CF"/>
    <w:rsid w:val="2DF355DA"/>
    <w:rsid w:val="2E092246"/>
    <w:rsid w:val="2E1E2185"/>
    <w:rsid w:val="2E2C3E41"/>
    <w:rsid w:val="2EA978D9"/>
    <w:rsid w:val="2EAD28B8"/>
    <w:rsid w:val="2EBE738E"/>
    <w:rsid w:val="2EE14E23"/>
    <w:rsid w:val="2EE3341C"/>
    <w:rsid w:val="2F0E448D"/>
    <w:rsid w:val="2F4F58DB"/>
    <w:rsid w:val="2F6D7D7A"/>
    <w:rsid w:val="2FAA2B11"/>
    <w:rsid w:val="2FAD1DC8"/>
    <w:rsid w:val="2FC721CB"/>
    <w:rsid w:val="300C3295"/>
    <w:rsid w:val="30215815"/>
    <w:rsid w:val="304E5806"/>
    <w:rsid w:val="30715CB7"/>
    <w:rsid w:val="309D23E8"/>
    <w:rsid w:val="30C06284"/>
    <w:rsid w:val="30ED7159"/>
    <w:rsid w:val="30F11FAE"/>
    <w:rsid w:val="30F1701C"/>
    <w:rsid w:val="311236A7"/>
    <w:rsid w:val="3115111F"/>
    <w:rsid w:val="31343328"/>
    <w:rsid w:val="313563D3"/>
    <w:rsid w:val="31466869"/>
    <w:rsid w:val="314B3BBE"/>
    <w:rsid w:val="314D19A6"/>
    <w:rsid w:val="31B24DBE"/>
    <w:rsid w:val="31CA6FF4"/>
    <w:rsid w:val="31D909CA"/>
    <w:rsid w:val="31E1251A"/>
    <w:rsid w:val="31E81056"/>
    <w:rsid w:val="31FC4E6F"/>
    <w:rsid w:val="31FC78E8"/>
    <w:rsid w:val="321D1044"/>
    <w:rsid w:val="32313806"/>
    <w:rsid w:val="324202BF"/>
    <w:rsid w:val="3250432D"/>
    <w:rsid w:val="327E7DE3"/>
    <w:rsid w:val="32885B7B"/>
    <w:rsid w:val="32B20B24"/>
    <w:rsid w:val="32B22ACE"/>
    <w:rsid w:val="32B95307"/>
    <w:rsid w:val="32CF0B66"/>
    <w:rsid w:val="32D65592"/>
    <w:rsid w:val="32D8384A"/>
    <w:rsid w:val="3321433A"/>
    <w:rsid w:val="332E07AE"/>
    <w:rsid w:val="333932F0"/>
    <w:rsid w:val="33447D88"/>
    <w:rsid w:val="33717808"/>
    <w:rsid w:val="33841DE7"/>
    <w:rsid w:val="338F5ED9"/>
    <w:rsid w:val="33BD1F8B"/>
    <w:rsid w:val="33E31CFF"/>
    <w:rsid w:val="33E84E0D"/>
    <w:rsid w:val="3407538A"/>
    <w:rsid w:val="340E749C"/>
    <w:rsid w:val="341E43D4"/>
    <w:rsid w:val="342C5A0F"/>
    <w:rsid w:val="346E05B1"/>
    <w:rsid w:val="348A4CBF"/>
    <w:rsid w:val="34D643A8"/>
    <w:rsid w:val="34D82D13"/>
    <w:rsid w:val="350A6A11"/>
    <w:rsid w:val="351A5A93"/>
    <w:rsid w:val="35366BF5"/>
    <w:rsid w:val="354B0F6E"/>
    <w:rsid w:val="357A1C0D"/>
    <w:rsid w:val="359E1737"/>
    <w:rsid w:val="35B23BE6"/>
    <w:rsid w:val="35B30926"/>
    <w:rsid w:val="35BC2B3C"/>
    <w:rsid w:val="35BD42D4"/>
    <w:rsid w:val="35C366DA"/>
    <w:rsid w:val="35D20381"/>
    <w:rsid w:val="360821F0"/>
    <w:rsid w:val="361F5D94"/>
    <w:rsid w:val="362F0382"/>
    <w:rsid w:val="368213D1"/>
    <w:rsid w:val="369500D7"/>
    <w:rsid w:val="3695350A"/>
    <w:rsid w:val="36997E18"/>
    <w:rsid w:val="36B31C7E"/>
    <w:rsid w:val="36BB547A"/>
    <w:rsid w:val="36EE5105"/>
    <w:rsid w:val="371D3482"/>
    <w:rsid w:val="371E516A"/>
    <w:rsid w:val="372238D5"/>
    <w:rsid w:val="373B34E8"/>
    <w:rsid w:val="37490021"/>
    <w:rsid w:val="37687DB6"/>
    <w:rsid w:val="3773605D"/>
    <w:rsid w:val="37857DB9"/>
    <w:rsid w:val="37A81CE0"/>
    <w:rsid w:val="37AE5168"/>
    <w:rsid w:val="37B31C40"/>
    <w:rsid w:val="37B43DBF"/>
    <w:rsid w:val="37DE2072"/>
    <w:rsid w:val="38146F03"/>
    <w:rsid w:val="38356594"/>
    <w:rsid w:val="387640E5"/>
    <w:rsid w:val="38B924EB"/>
    <w:rsid w:val="38F30332"/>
    <w:rsid w:val="390D7DB6"/>
    <w:rsid w:val="39331DC9"/>
    <w:rsid w:val="39355B41"/>
    <w:rsid w:val="39417394"/>
    <w:rsid w:val="39460245"/>
    <w:rsid w:val="396E7FFC"/>
    <w:rsid w:val="399D36E6"/>
    <w:rsid w:val="399D5557"/>
    <w:rsid w:val="39CE573B"/>
    <w:rsid w:val="3A227D51"/>
    <w:rsid w:val="3A322081"/>
    <w:rsid w:val="3A3A0B9B"/>
    <w:rsid w:val="3A865D46"/>
    <w:rsid w:val="3A9F4C9C"/>
    <w:rsid w:val="3AA23AEC"/>
    <w:rsid w:val="3AB3461D"/>
    <w:rsid w:val="3AB46F3A"/>
    <w:rsid w:val="3ADB0022"/>
    <w:rsid w:val="3AE25532"/>
    <w:rsid w:val="3AF26130"/>
    <w:rsid w:val="3B1807DC"/>
    <w:rsid w:val="3B2C7217"/>
    <w:rsid w:val="3B3C1F7E"/>
    <w:rsid w:val="3B432F60"/>
    <w:rsid w:val="3B5A188F"/>
    <w:rsid w:val="3B7F12F6"/>
    <w:rsid w:val="3B82084D"/>
    <w:rsid w:val="3B97132F"/>
    <w:rsid w:val="3B973AD0"/>
    <w:rsid w:val="3B9F6607"/>
    <w:rsid w:val="3BA527DC"/>
    <w:rsid w:val="3BA66882"/>
    <w:rsid w:val="3BB12163"/>
    <w:rsid w:val="3BB2388E"/>
    <w:rsid w:val="3BB973E6"/>
    <w:rsid w:val="3BCA1178"/>
    <w:rsid w:val="3BE70B67"/>
    <w:rsid w:val="3C0B5C89"/>
    <w:rsid w:val="3C1D4C0C"/>
    <w:rsid w:val="3C212A96"/>
    <w:rsid w:val="3C4A6BC7"/>
    <w:rsid w:val="3C4C4480"/>
    <w:rsid w:val="3C5204EF"/>
    <w:rsid w:val="3C5B3A42"/>
    <w:rsid w:val="3CCE71EB"/>
    <w:rsid w:val="3CD9333F"/>
    <w:rsid w:val="3CFC55A7"/>
    <w:rsid w:val="3D2B0B69"/>
    <w:rsid w:val="3D522C3F"/>
    <w:rsid w:val="3D763D6E"/>
    <w:rsid w:val="3DA44E6A"/>
    <w:rsid w:val="3DA6470B"/>
    <w:rsid w:val="3DA74D69"/>
    <w:rsid w:val="3DAD4589"/>
    <w:rsid w:val="3DAE2099"/>
    <w:rsid w:val="3DB679BF"/>
    <w:rsid w:val="3DC928E1"/>
    <w:rsid w:val="3DE06B2A"/>
    <w:rsid w:val="3DF24089"/>
    <w:rsid w:val="3E1877DF"/>
    <w:rsid w:val="3E2838A7"/>
    <w:rsid w:val="3E5B6889"/>
    <w:rsid w:val="3E7C4FD9"/>
    <w:rsid w:val="3E8C271F"/>
    <w:rsid w:val="3EC7065D"/>
    <w:rsid w:val="3ECB73CB"/>
    <w:rsid w:val="3ECE7A61"/>
    <w:rsid w:val="3EF21AC8"/>
    <w:rsid w:val="3F347CDF"/>
    <w:rsid w:val="3F6928D8"/>
    <w:rsid w:val="3F8C5D8F"/>
    <w:rsid w:val="3F9D3335"/>
    <w:rsid w:val="3FB00065"/>
    <w:rsid w:val="3FB129FB"/>
    <w:rsid w:val="404C58CC"/>
    <w:rsid w:val="405C2676"/>
    <w:rsid w:val="4071230B"/>
    <w:rsid w:val="407B6986"/>
    <w:rsid w:val="407C75F4"/>
    <w:rsid w:val="40833DF8"/>
    <w:rsid w:val="409B6F7A"/>
    <w:rsid w:val="40AF11F2"/>
    <w:rsid w:val="40B437EF"/>
    <w:rsid w:val="40E017D6"/>
    <w:rsid w:val="40F37567"/>
    <w:rsid w:val="412B7049"/>
    <w:rsid w:val="414B3C9E"/>
    <w:rsid w:val="414C203F"/>
    <w:rsid w:val="416C4821"/>
    <w:rsid w:val="418259F3"/>
    <w:rsid w:val="41A21DF5"/>
    <w:rsid w:val="41B7596C"/>
    <w:rsid w:val="41CD59C3"/>
    <w:rsid w:val="41D8023A"/>
    <w:rsid w:val="4214206C"/>
    <w:rsid w:val="42166091"/>
    <w:rsid w:val="42547E30"/>
    <w:rsid w:val="426E30BF"/>
    <w:rsid w:val="42701998"/>
    <w:rsid w:val="4284386F"/>
    <w:rsid w:val="42A264D0"/>
    <w:rsid w:val="42B15B0D"/>
    <w:rsid w:val="42B6123C"/>
    <w:rsid w:val="42E50E2C"/>
    <w:rsid w:val="430F2F5F"/>
    <w:rsid w:val="43813E03"/>
    <w:rsid w:val="4391739F"/>
    <w:rsid w:val="439707FE"/>
    <w:rsid w:val="43B74303"/>
    <w:rsid w:val="43EE6197"/>
    <w:rsid w:val="43F94CA3"/>
    <w:rsid w:val="44045607"/>
    <w:rsid w:val="440C56F0"/>
    <w:rsid w:val="442515B3"/>
    <w:rsid w:val="445867F2"/>
    <w:rsid w:val="447B69B3"/>
    <w:rsid w:val="448259B3"/>
    <w:rsid w:val="448C2866"/>
    <w:rsid w:val="449A0678"/>
    <w:rsid w:val="44DF115C"/>
    <w:rsid w:val="45014D6F"/>
    <w:rsid w:val="45024A87"/>
    <w:rsid w:val="450742D5"/>
    <w:rsid w:val="450F4A9E"/>
    <w:rsid w:val="45196317"/>
    <w:rsid w:val="454E13E5"/>
    <w:rsid w:val="455754C7"/>
    <w:rsid w:val="45A42874"/>
    <w:rsid w:val="45AD4CB1"/>
    <w:rsid w:val="45D5090F"/>
    <w:rsid w:val="45D51133"/>
    <w:rsid w:val="45DF6466"/>
    <w:rsid w:val="45E81E06"/>
    <w:rsid w:val="45F925AB"/>
    <w:rsid w:val="46033543"/>
    <w:rsid w:val="46060936"/>
    <w:rsid w:val="46123DE7"/>
    <w:rsid w:val="464D388A"/>
    <w:rsid w:val="46733805"/>
    <w:rsid w:val="469519CD"/>
    <w:rsid w:val="46B1432D"/>
    <w:rsid w:val="46C16790"/>
    <w:rsid w:val="46C351A7"/>
    <w:rsid w:val="46F42F83"/>
    <w:rsid w:val="46F87802"/>
    <w:rsid w:val="46F902D7"/>
    <w:rsid w:val="47191D31"/>
    <w:rsid w:val="47233297"/>
    <w:rsid w:val="474D6FBF"/>
    <w:rsid w:val="4755115C"/>
    <w:rsid w:val="47643C7B"/>
    <w:rsid w:val="477C68EF"/>
    <w:rsid w:val="478F6DB7"/>
    <w:rsid w:val="4792415F"/>
    <w:rsid w:val="47985C8C"/>
    <w:rsid w:val="47BA0D48"/>
    <w:rsid w:val="480706A9"/>
    <w:rsid w:val="48155FB2"/>
    <w:rsid w:val="483454F8"/>
    <w:rsid w:val="483B0BC3"/>
    <w:rsid w:val="485812D4"/>
    <w:rsid w:val="48765F24"/>
    <w:rsid w:val="489060B2"/>
    <w:rsid w:val="48A7593B"/>
    <w:rsid w:val="48D16F41"/>
    <w:rsid w:val="48EC629A"/>
    <w:rsid w:val="48F13107"/>
    <w:rsid w:val="4904108C"/>
    <w:rsid w:val="49044BE8"/>
    <w:rsid w:val="49136E4A"/>
    <w:rsid w:val="491D2A35"/>
    <w:rsid w:val="492C1579"/>
    <w:rsid w:val="493B0DB9"/>
    <w:rsid w:val="495530D2"/>
    <w:rsid w:val="497220F9"/>
    <w:rsid w:val="498D2E30"/>
    <w:rsid w:val="49B02FC2"/>
    <w:rsid w:val="49BD2344"/>
    <w:rsid w:val="49BE3F77"/>
    <w:rsid w:val="49CE2D1E"/>
    <w:rsid w:val="49EF5B24"/>
    <w:rsid w:val="4A034765"/>
    <w:rsid w:val="4A105393"/>
    <w:rsid w:val="4A1D1514"/>
    <w:rsid w:val="4A7F4833"/>
    <w:rsid w:val="4A90657C"/>
    <w:rsid w:val="4AFB02CB"/>
    <w:rsid w:val="4B055C4E"/>
    <w:rsid w:val="4B2A63D7"/>
    <w:rsid w:val="4B9058B3"/>
    <w:rsid w:val="4B977B4C"/>
    <w:rsid w:val="4BB97C83"/>
    <w:rsid w:val="4BCA7EDC"/>
    <w:rsid w:val="4BF84389"/>
    <w:rsid w:val="4C0F2222"/>
    <w:rsid w:val="4C125644"/>
    <w:rsid w:val="4C12586E"/>
    <w:rsid w:val="4C2C683C"/>
    <w:rsid w:val="4C382559"/>
    <w:rsid w:val="4C4F59B1"/>
    <w:rsid w:val="4C710AC0"/>
    <w:rsid w:val="4C96024D"/>
    <w:rsid w:val="4CAF542C"/>
    <w:rsid w:val="4CAF5AB3"/>
    <w:rsid w:val="4CBD3A2C"/>
    <w:rsid w:val="4CD47749"/>
    <w:rsid w:val="4CE70D72"/>
    <w:rsid w:val="4D0405F2"/>
    <w:rsid w:val="4D574863"/>
    <w:rsid w:val="4D5901FF"/>
    <w:rsid w:val="4D735553"/>
    <w:rsid w:val="4D87403A"/>
    <w:rsid w:val="4DA370C6"/>
    <w:rsid w:val="4DD64FA4"/>
    <w:rsid w:val="4E015096"/>
    <w:rsid w:val="4E0256F8"/>
    <w:rsid w:val="4E147B0D"/>
    <w:rsid w:val="4E1701BE"/>
    <w:rsid w:val="4E30647F"/>
    <w:rsid w:val="4E327A58"/>
    <w:rsid w:val="4E3E4963"/>
    <w:rsid w:val="4E68415A"/>
    <w:rsid w:val="4E904B1F"/>
    <w:rsid w:val="4E915901"/>
    <w:rsid w:val="4EC407DF"/>
    <w:rsid w:val="4EFA5BA5"/>
    <w:rsid w:val="4F3772AF"/>
    <w:rsid w:val="4F5814EB"/>
    <w:rsid w:val="4F716D4F"/>
    <w:rsid w:val="4F8C5BA8"/>
    <w:rsid w:val="4FB42E63"/>
    <w:rsid w:val="4FC033C4"/>
    <w:rsid w:val="502B6F4E"/>
    <w:rsid w:val="502F2DD9"/>
    <w:rsid w:val="503E0E60"/>
    <w:rsid w:val="505C5C87"/>
    <w:rsid w:val="5060176B"/>
    <w:rsid w:val="50703B60"/>
    <w:rsid w:val="50811937"/>
    <w:rsid w:val="5091441B"/>
    <w:rsid w:val="50AC1D83"/>
    <w:rsid w:val="50B7645A"/>
    <w:rsid w:val="50B83A43"/>
    <w:rsid w:val="50C03AEB"/>
    <w:rsid w:val="50D7699A"/>
    <w:rsid w:val="50D80E2E"/>
    <w:rsid w:val="50D94BAC"/>
    <w:rsid w:val="50E14B0F"/>
    <w:rsid w:val="510646AB"/>
    <w:rsid w:val="512E33FC"/>
    <w:rsid w:val="51331174"/>
    <w:rsid w:val="514B2BC8"/>
    <w:rsid w:val="51752B27"/>
    <w:rsid w:val="51803574"/>
    <w:rsid w:val="51A510BD"/>
    <w:rsid w:val="51C73A49"/>
    <w:rsid w:val="51CC3028"/>
    <w:rsid w:val="51D64B35"/>
    <w:rsid w:val="51E677D2"/>
    <w:rsid w:val="520135A0"/>
    <w:rsid w:val="52157E66"/>
    <w:rsid w:val="522A4882"/>
    <w:rsid w:val="52343766"/>
    <w:rsid w:val="52395D1A"/>
    <w:rsid w:val="52495D62"/>
    <w:rsid w:val="528D5C4E"/>
    <w:rsid w:val="52A664C0"/>
    <w:rsid w:val="52E141EC"/>
    <w:rsid w:val="52E5672C"/>
    <w:rsid w:val="52F55D10"/>
    <w:rsid w:val="532128C6"/>
    <w:rsid w:val="53344F9A"/>
    <w:rsid w:val="53426F62"/>
    <w:rsid w:val="534839E9"/>
    <w:rsid w:val="53685C36"/>
    <w:rsid w:val="536962F2"/>
    <w:rsid w:val="536C32DA"/>
    <w:rsid w:val="53714FD6"/>
    <w:rsid w:val="537E4147"/>
    <w:rsid w:val="53D94361"/>
    <w:rsid w:val="53DE7E32"/>
    <w:rsid w:val="54077C82"/>
    <w:rsid w:val="54436F06"/>
    <w:rsid w:val="5448385D"/>
    <w:rsid w:val="544B7B6F"/>
    <w:rsid w:val="546D0F07"/>
    <w:rsid w:val="547A48F8"/>
    <w:rsid w:val="54863E79"/>
    <w:rsid w:val="549A0AF6"/>
    <w:rsid w:val="54AA53FA"/>
    <w:rsid w:val="54B55507"/>
    <w:rsid w:val="54C11DE5"/>
    <w:rsid w:val="54E76163"/>
    <w:rsid w:val="54EB3332"/>
    <w:rsid w:val="551E34D6"/>
    <w:rsid w:val="55644B16"/>
    <w:rsid w:val="55806255"/>
    <w:rsid w:val="55A50791"/>
    <w:rsid w:val="55A5225D"/>
    <w:rsid w:val="56102E1E"/>
    <w:rsid w:val="56450718"/>
    <w:rsid w:val="56506BE6"/>
    <w:rsid w:val="566309FC"/>
    <w:rsid w:val="566635E3"/>
    <w:rsid w:val="566E268D"/>
    <w:rsid w:val="567217FF"/>
    <w:rsid w:val="568F1CA1"/>
    <w:rsid w:val="56AF4507"/>
    <w:rsid w:val="56B5634D"/>
    <w:rsid w:val="56B7121B"/>
    <w:rsid w:val="56EB5639"/>
    <w:rsid w:val="5708718A"/>
    <w:rsid w:val="57090491"/>
    <w:rsid w:val="572A598A"/>
    <w:rsid w:val="57B9112C"/>
    <w:rsid w:val="57BA541D"/>
    <w:rsid w:val="57BF6D96"/>
    <w:rsid w:val="57CA6A87"/>
    <w:rsid w:val="57CD10B2"/>
    <w:rsid w:val="57DD1071"/>
    <w:rsid w:val="57DD1D5E"/>
    <w:rsid w:val="57F94BDE"/>
    <w:rsid w:val="57FD73D2"/>
    <w:rsid w:val="58003CBB"/>
    <w:rsid w:val="58264B69"/>
    <w:rsid w:val="58514D32"/>
    <w:rsid w:val="58652558"/>
    <w:rsid w:val="58845D45"/>
    <w:rsid w:val="589360EC"/>
    <w:rsid w:val="589E5539"/>
    <w:rsid w:val="58C46B99"/>
    <w:rsid w:val="58C91D3B"/>
    <w:rsid w:val="58D36726"/>
    <w:rsid w:val="58E46ADA"/>
    <w:rsid w:val="58F41FF2"/>
    <w:rsid w:val="590020C0"/>
    <w:rsid w:val="593E43BD"/>
    <w:rsid w:val="594D5125"/>
    <w:rsid w:val="594F3929"/>
    <w:rsid w:val="595A2602"/>
    <w:rsid w:val="595D6539"/>
    <w:rsid w:val="598B7444"/>
    <w:rsid w:val="59B166C6"/>
    <w:rsid w:val="59B40DF7"/>
    <w:rsid w:val="59D4173A"/>
    <w:rsid w:val="59D77EA6"/>
    <w:rsid w:val="5A1C3816"/>
    <w:rsid w:val="5A7476F4"/>
    <w:rsid w:val="5A965EC8"/>
    <w:rsid w:val="5AA20184"/>
    <w:rsid w:val="5AD24535"/>
    <w:rsid w:val="5ADF3707"/>
    <w:rsid w:val="5B0A2ABB"/>
    <w:rsid w:val="5B182706"/>
    <w:rsid w:val="5B1A65A9"/>
    <w:rsid w:val="5B262069"/>
    <w:rsid w:val="5B45291A"/>
    <w:rsid w:val="5B605AB6"/>
    <w:rsid w:val="5BA358DB"/>
    <w:rsid w:val="5BD022C1"/>
    <w:rsid w:val="5BD15C34"/>
    <w:rsid w:val="5BD6307A"/>
    <w:rsid w:val="5C06401B"/>
    <w:rsid w:val="5C064602"/>
    <w:rsid w:val="5C3C798A"/>
    <w:rsid w:val="5C474011"/>
    <w:rsid w:val="5C49708A"/>
    <w:rsid w:val="5C533ACC"/>
    <w:rsid w:val="5C622469"/>
    <w:rsid w:val="5C8207EE"/>
    <w:rsid w:val="5C994124"/>
    <w:rsid w:val="5CA60783"/>
    <w:rsid w:val="5CEB7C62"/>
    <w:rsid w:val="5D3A4CF9"/>
    <w:rsid w:val="5D6E6E25"/>
    <w:rsid w:val="5DA70730"/>
    <w:rsid w:val="5DCB29EF"/>
    <w:rsid w:val="5DE71F1E"/>
    <w:rsid w:val="5DFB2606"/>
    <w:rsid w:val="5E070FAB"/>
    <w:rsid w:val="5E203E1A"/>
    <w:rsid w:val="5E706783"/>
    <w:rsid w:val="5E821385"/>
    <w:rsid w:val="5E862BD9"/>
    <w:rsid w:val="5EC86368"/>
    <w:rsid w:val="5ED27765"/>
    <w:rsid w:val="5EDE4C85"/>
    <w:rsid w:val="5EE720EA"/>
    <w:rsid w:val="5EF07C91"/>
    <w:rsid w:val="5F136B97"/>
    <w:rsid w:val="5F200EF2"/>
    <w:rsid w:val="5F211695"/>
    <w:rsid w:val="5F2E217F"/>
    <w:rsid w:val="5F517C91"/>
    <w:rsid w:val="5F546472"/>
    <w:rsid w:val="5F6B1E0A"/>
    <w:rsid w:val="5F7C24E6"/>
    <w:rsid w:val="5F7F18F7"/>
    <w:rsid w:val="5F93686E"/>
    <w:rsid w:val="5F9B5655"/>
    <w:rsid w:val="5FAA6092"/>
    <w:rsid w:val="5FD80C16"/>
    <w:rsid w:val="5FF314D0"/>
    <w:rsid w:val="5FF4730D"/>
    <w:rsid w:val="600B12DB"/>
    <w:rsid w:val="602F4C08"/>
    <w:rsid w:val="60397F5D"/>
    <w:rsid w:val="603C6C0D"/>
    <w:rsid w:val="60634CFE"/>
    <w:rsid w:val="60765787"/>
    <w:rsid w:val="60913C26"/>
    <w:rsid w:val="6094079C"/>
    <w:rsid w:val="60AC1E1C"/>
    <w:rsid w:val="60C45117"/>
    <w:rsid w:val="60CC1559"/>
    <w:rsid w:val="60E0062C"/>
    <w:rsid w:val="611364AF"/>
    <w:rsid w:val="612358BE"/>
    <w:rsid w:val="61251748"/>
    <w:rsid w:val="612C3E65"/>
    <w:rsid w:val="618E553F"/>
    <w:rsid w:val="61BC5749"/>
    <w:rsid w:val="61BD3AAA"/>
    <w:rsid w:val="61CF38E4"/>
    <w:rsid w:val="620F0646"/>
    <w:rsid w:val="622F0645"/>
    <w:rsid w:val="62B62F9F"/>
    <w:rsid w:val="62BD246D"/>
    <w:rsid w:val="62D05084"/>
    <w:rsid w:val="62DB6B4E"/>
    <w:rsid w:val="62F0652F"/>
    <w:rsid w:val="62F373CD"/>
    <w:rsid w:val="630533DB"/>
    <w:rsid w:val="630F445E"/>
    <w:rsid w:val="63165FF6"/>
    <w:rsid w:val="635A00AC"/>
    <w:rsid w:val="63622A70"/>
    <w:rsid w:val="63A92E6B"/>
    <w:rsid w:val="63B33804"/>
    <w:rsid w:val="63BD51C3"/>
    <w:rsid w:val="63BE04BA"/>
    <w:rsid w:val="63C91DEA"/>
    <w:rsid w:val="63D54DCA"/>
    <w:rsid w:val="64050094"/>
    <w:rsid w:val="64070A4D"/>
    <w:rsid w:val="642D69DC"/>
    <w:rsid w:val="642E6B65"/>
    <w:rsid w:val="6453540E"/>
    <w:rsid w:val="64AD6277"/>
    <w:rsid w:val="64AD6CF5"/>
    <w:rsid w:val="64B242FB"/>
    <w:rsid w:val="64B93FC8"/>
    <w:rsid w:val="64CF7255"/>
    <w:rsid w:val="64E64E90"/>
    <w:rsid w:val="64FA4B2A"/>
    <w:rsid w:val="651844F4"/>
    <w:rsid w:val="65220575"/>
    <w:rsid w:val="653B6108"/>
    <w:rsid w:val="655A40B6"/>
    <w:rsid w:val="656767D3"/>
    <w:rsid w:val="65681DE2"/>
    <w:rsid w:val="65A700A4"/>
    <w:rsid w:val="660E746C"/>
    <w:rsid w:val="66266ED4"/>
    <w:rsid w:val="66331E21"/>
    <w:rsid w:val="66346799"/>
    <w:rsid w:val="664C6517"/>
    <w:rsid w:val="666643E3"/>
    <w:rsid w:val="667963F4"/>
    <w:rsid w:val="669D53CD"/>
    <w:rsid w:val="66C92085"/>
    <w:rsid w:val="66E207EB"/>
    <w:rsid w:val="66EF76BD"/>
    <w:rsid w:val="673D311F"/>
    <w:rsid w:val="676239E8"/>
    <w:rsid w:val="6763349B"/>
    <w:rsid w:val="67772492"/>
    <w:rsid w:val="67801104"/>
    <w:rsid w:val="67867885"/>
    <w:rsid w:val="678B6510"/>
    <w:rsid w:val="67B94F6D"/>
    <w:rsid w:val="67CD7D33"/>
    <w:rsid w:val="67DA3E2F"/>
    <w:rsid w:val="67E52301"/>
    <w:rsid w:val="68096B78"/>
    <w:rsid w:val="68103495"/>
    <w:rsid w:val="68165A21"/>
    <w:rsid w:val="682A7CEC"/>
    <w:rsid w:val="682E06FF"/>
    <w:rsid w:val="6842721E"/>
    <w:rsid w:val="685A261F"/>
    <w:rsid w:val="6866487F"/>
    <w:rsid w:val="688D08E1"/>
    <w:rsid w:val="68AB7464"/>
    <w:rsid w:val="68C36656"/>
    <w:rsid w:val="68DF6A83"/>
    <w:rsid w:val="69122B29"/>
    <w:rsid w:val="69450B30"/>
    <w:rsid w:val="695845D4"/>
    <w:rsid w:val="69727C49"/>
    <w:rsid w:val="69F1164C"/>
    <w:rsid w:val="69F901DD"/>
    <w:rsid w:val="6A1B6F7F"/>
    <w:rsid w:val="6A245815"/>
    <w:rsid w:val="6A50275D"/>
    <w:rsid w:val="6A7E67B9"/>
    <w:rsid w:val="6A84567E"/>
    <w:rsid w:val="6A9D3D8A"/>
    <w:rsid w:val="6AB745EA"/>
    <w:rsid w:val="6ACF1456"/>
    <w:rsid w:val="6AD22B91"/>
    <w:rsid w:val="6AEA0D00"/>
    <w:rsid w:val="6AF363CB"/>
    <w:rsid w:val="6B0B1692"/>
    <w:rsid w:val="6B1A02CD"/>
    <w:rsid w:val="6B307DC7"/>
    <w:rsid w:val="6B702AF5"/>
    <w:rsid w:val="6B811020"/>
    <w:rsid w:val="6BB830BE"/>
    <w:rsid w:val="6BC10866"/>
    <w:rsid w:val="6BC93462"/>
    <w:rsid w:val="6BFE36B0"/>
    <w:rsid w:val="6C0309FB"/>
    <w:rsid w:val="6C0477F6"/>
    <w:rsid w:val="6C253C21"/>
    <w:rsid w:val="6C445EAF"/>
    <w:rsid w:val="6C636971"/>
    <w:rsid w:val="6C743398"/>
    <w:rsid w:val="6C750DF5"/>
    <w:rsid w:val="6C755C79"/>
    <w:rsid w:val="6C890AFA"/>
    <w:rsid w:val="6CC41F6B"/>
    <w:rsid w:val="6CDC1854"/>
    <w:rsid w:val="6D2F3CC2"/>
    <w:rsid w:val="6D303DCD"/>
    <w:rsid w:val="6D373CE4"/>
    <w:rsid w:val="6D3E2288"/>
    <w:rsid w:val="6D5F4FA9"/>
    <w:rsid w:val="6D6E75F8"/>
    <w:rsid w:val="6D862708"/>
    <w:rsid w:val="6D927102"/>
    <w:rsid w:val="6D985A4B"/>
    <w:rsid w:val="6DC01CF5"/>
    <w:rsid w:val="6DC02F24"/>
    <w:rsid w:val="6DCC200B"/>
    <w:rsid w:val="6E0D7EC3"/>
    <w:rsid w:val="6E3F4095"/>
    <w:rsid w:val="6E4451AE"/>
    <w:rsid w:val="6E751F61"/>
    <w:rsid w:val="6E7A2372"/>
    <w:rsid w:val="6E7E5220"/>
    <w:rsid w:val="6E8D6EC8"/>
    <w:rsid w:val="6E950207"/>
    <w:rsid w:val="6E987D24"/>
    <w:rsid w:val="6EC15CB8"/>
    <w:rsid w:val="6EEA4940"/>
    <w:rsid w:val="6EED7945"/>
    <w:rsid w:val="6EFB2A7A"/>
    <w:rsid w:val="6F0F0F55"/>
    <w:rsid w:val="6F3C2815"/>
    <w:rsid w:val="6F637981"/>
    <w:rsid w:val="6F6D0E8A"/>
    <w:rsid w:val="6F723540"/>
    <w:rsid w:val="6F75335F"/>
    <w:rsid w:val="6FC4599D"/>
    <w:rsid w:val="6FD20CED"/>
    <w:rsid w:val="6FDA6DB4"/>
    <w:rsid w:val="6FED19A1"/>
    <w:rsid w:val="6FFB3228"/>
    <w:rsid w:val="6FFF57CB"/>
    <w:rsid w:val="7032115A"/>
    <w:rsid w:val="703673C8"/>
    <w:rsid w:val="704F5C94"/>
    <w:rsid w:val="705E5D7E"/>
    <w:rsid w:val="70915044"/>
    <w:rsid w:val="709452BD"/>
    <w:rsid w:val="70A1703D"/>
    <w:rsid w:val="70A84D4C"/>
    <w:rsid w:val="70AB20B2"/>
    <w:rsid w:val="70E47042"/>
    <w:rsid w:val="70EC4CDE"/>
    <w:rsid w:val="7104581E"/>
    <w:rsid w:val="711331AB"/>
    <w:rsid w:val="71151141"/>
    <w:rsid w:val="711512FD"/>
    <w:rsid w:val="712B4FA6"/>
    <w:rsid w:val="71325EE7"/>
    <w:rsid w:val="71465958"/>
    <w:rsid w:val="71611ABA"/>
    <w:rsid w:val="717951B5"/>
    <w:rsid w:val="71934E17"/>
    <w:rsid w:val="71A1373E"/>
    <w:rsid w:val="71A32824"/>
    <w:rsid w:val="71C013C5"/>
    <w:rsid w:val="71C33626"/>
    <w:rsid w:val="71CB580E"/>
    <w:rsid w:val="71D260B4"/>
    <w:rsid w:val="71DB5D6F"/>
    <w:rsid w:val="71DD78DB"/>
    <w:rsid w:val="72165DE1"/>
    <w:rsid w:val="7218025B"/>
    <w:rsid w:val="72233A82"/>
    <w:rsid w:val="722C40AC"/>
    <w:rsid w:val="72474F1E"/>
    <w:rsid w:val="724B65F8"/>
    <w:rsid w:val="725578E8"/>
    <w:rsid w:val="72671C47"/>
    <w:rsid w:val="726877E8"/>
    <w:rsid w:val="727F01CB"/>
    <w:rsid w:val="72A16523"/>
    <w:rsid w:val="72AF5315"/>
    <w:rsid w:val="72B8066E"/>
    <w:rsid w:val="72CF3433"/>
    <w:rsid w:val="72DC3870"/>
    <w:rsid w:val="73006FCB"/>
    <w:rsid w:val="73047407"/>
    <w:rsid w:val="7346211D"/>
    <w:rsid w:val="73593B14"/>
    <w:rsid w:val="73980993"/>
    <w:rsid w:val="739A5BE8"/>
    <w:rsid w:val="73DC145F"/>
    <w:rsid w:val="73FE63FC"/>
    <w:rsid w:val="740C2831"/>
    <w:rsid w:val="742D6587"/>
    <w:rsid w:val="742F670E"/>
    <w:rsid w:val="7452064E"/>
    <w:rsid w:val="74AB2123"/>
    <w:rsid w:val="74BE2015"/>
    <w:rsid w:val="74DF2F92"/>
    <w:rsid w:val="74FB1F0E"/>
    <w:rsid w:val="75270F24"/>
    <w:rsid w:val="754B04A9"/>
    <w:rsid w:val="75A82C1C"/>
    <w:rsid w:val="75AC49A7"/>
    <w:rsid w:val="75D2592C"/>
    <w:rsid w:val="75D43A11"/>
    <w:rsid w:val="75D947A4"/>
    <w:rsid w:val="75F27F75"/>
    <w:rsid w:val="761B2F9A"/>
    <w:rsid w:val="765014BA"/>
    <w:rsid w:val="766E2CBE"/>
    <w:rsid w:val="7670743F"/>
    <w:rsid w:val="76780CF3"/>
    <w:rsid w:val="768E0063"/>
    <w:rsid w:val="769F403B"/>
    <w:rsid w:val="76CB20AF"/>
    <w:rsid w:val="76CF2B2C"/>
    <w:rsid w:val="771906AE"/>
    <w:rsid w:val="77252563"/>
    <w:rsid w:val="774220CC"/>
    <w:rsid w:val="774C07DA"/>
    <w:rsid w:val="774F6077"/>
    <w:rsid w:val="779A0BA9"/>
    <w:rsid w:val="77BB7826"/>
    <w:rsid w:val="780477F2"/>
    <w:rsid w:val="783206B5"/>
    <w:rsid w:val="78407ECB"/>
    <w:rsid w:val="784D2C9C"/>
    <w:rsid w:val="786855A1"/>
    <w:rsid w:val="78691D22"/>
    <w:rsid w:val="788B2518"/>
    <w:rsid w:val="789B5A59"/>
    <w:rsid w:val="78C45949"/>
    <w:rsid w:val="78CC09CF"/>
    <w:rsid w:val="78DE7342"/>
    <w:rsid w:val="78E12A01"/>
    <w:rsid w:val="78E66A19"/>
    <w:rsid w:val="78F07031"/>
    <w:rsid w:val="78FF6FF6"/>
    <w:rsid w:val="79142663"/>
    <w:rsid w:val="79341EFF"/>
    <w:rsid w:val="79440C2D"/>
    <w:rsid w:val="79646E59"/>
    <w:rsid w:val="79697BC6"/>
    <w:rsid w:val="797C7B8B"/>
    <w:rsid w:val="797F0137"/>
    <w:rsid w:val="79F47A30"/>
    <w:rsid w:val="79FD4106"/>
    <w:rsid w:val="7A070371"/>
    <w:rsid w:val="7A141108"/>
    <w:rsid w:val="7A272C03"/>
    <w:rsid w:val="7A2D58D4"/>
    <w:rsid w:val="7A7518D1"/>
    <w:rsid w:val="7A770312"/>
    <w:rsid w:val="7A7771D5"/>
    <w:rsid w:val="7A8B6F63"/>
    <w:rsid w:val="7A9814B1"/>
    <w:rsid w:val="7AB6672A"/>
    <w:rsid w:val="7AEA2FD4"/>
    <w:rsid w:val="7AEE56CE"/>
    <w:rsid w:val="7AF94127"/>
    <w:rsid w:val="7B310B9A"/>
    <w:rsid w:val="7B4004BD"/>
    <w:rsid w:val="7B430A61"/>
    <w:rsid w:val="7B4C1626"/>
    <w:rsid w:val="7B5B274E"/>
    <w:rsid w:val="7B745B1A"/>
    <w:rsid w:val="7B890C64"/>
    <w:rsid w:val="7B9C2618"/>
    <w:rsid w:val="7B9E3EE7"/>
    <w:rsid w:val="7BA428F4"/>
    <w:rsid w:val="7BE8269D"/>
    <w:rsid w:val="7BFC3546"/>
    <w:rsid w:val="7C0F5B69"/>
    <w:rsid w:val="7C324FED"/>
    <w:rsid w:val="7C376FE4"/>
    <w:rsid w:val="7C700DB2"/>
    <w:rsid w:val="7CAC03ED"/>
    <w:rsid w:val="7CE33E02"/>
    <w:rsid w:val="7CF35FC2"/>
    <w:rsid w:val="7CF36BAF"/>
    <w:rsid w:val="7D1D4FBB"/>
    <w:rsid w:val="7D271774"/>
    <w:rsid w:val="7D47114E"/>
    <w:rsid w:val="7D584F27"/>
    <w:rsid w:val="7D5A0743"/>
    <w:rsid w:val="7D7C721D"/>
    <w:rsid w:val="7D854588"/>
    <w:rsid w:val="7D8B3FE4"/>
    <w:rsid w:val="7DBB5092"/>
    <w:rsid w:val="7DD5299C"/>
    <w:rsid w:val="7DE54B74"/>
    <w:rsid w:val="7DE91447"/>
    <w:rsid w:val="7DF94B42"/>
    <w:rsid w:val="7E3C1C7B"/>
    <w:rsid w:val="7E5E68F9"/>
    <w:rsid w:val="7E5F5E41"/>
    <w:rsid w:val="7E632BCC"/>
    <w:rsid w:val="7E6F3B0D"/>
    <w:rsid w:val="7EA810CD"/>
    <w:rsid w:val="7ED0427F"/>
    <w:rsid w:val="7ED45983"/>
    <w:rsid w:val="7EEC1AE0"/>
    <w:rsid w:val="7EFC4444"/>
    <w:rsid w:val="7F057DB9"/>
    <w:rsid w:val="7F060803"/>
    <w:rsid w:val="7F2F1CB8"/>
    <w:rsid w:val="7F325A24"/>
    <w:rsid w:val="7F373A7F"/>
    <w:rsid w:val="7F3B0F2F"/>
    <w:rsid w:val="7F3D1782"/>
    <w:rsid w:val="7F47533B"/>
    <w:rsid w:val="7F5F40FF"/>
    <w:rsid w:val="7F8F6BFA"/>
    <w:rsid w:val="7F901723"/>
    <w:rsid w:val="7FA9198F"/>
    <w:rsid w:val="7FC73326"/>
    <w:rsid w:val="7FEB2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79"/>
    <w:autoRedefine/>
    <w:qFormat/>
    <w:uiPriority w:val="0"/>
    <w:pPr>
      <w:keepNext/>
      <w:keepLines/>
      <w:spacing w:line="360" w:lineRule="auto"/>
      <w:jc w:val="center"/>
      <w:outlineLvl w:val="0"/>
    </w:pPr>
    <w:rPr>
      <w:b/>
      <w:kern w:val="44"/>
      <w:sz w:val="2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3" w:lineRule="auto"/>
      <w:outlineLvl w:val="2"/>
    </w:pPr>
    <w:rPr>
      <w:b/>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annotation text"/>
    <w:basedOn w:val="1"/>
    <w:link w:val="81"/>
    <w:autoRedefine/>
    <w:qFormat/>
    <w:uiPriority w:val="0"/>
    <w:pPr>
      <w:jc w:val="left"/>
    </w:pPr>
  </w:style>
  <w:style w:type="paragraph" w:styleId="7">
    <w:name w:val="Body Text"/>
    <w:basedOn w:val="1"/>
    <w:next w:val="8"/>
    <w:autoRedefine/>
    <w:qFormat/>
    <w:uiPriority w:val="0"/>
    <w:pPr>
      <w:spacing w:after="120"/>
    </w:pPr>
  </w:style>
  <w:style w:type="paragraph" w:styleId="8">
    <w:name w:val="Date"/>
    <w:basedOn w:val="1"/>
    <w:next w:val="1"/>
    <w:autoRedefine/>
    <w:qFormat/>
    <w:uiPriority w:val="0"/>
    <w:pPr>
      <w:ind w:left="100" w:leftChars="2500"/>
    </w:pPr>
    <w:rPr>
      <w:sz w:val="36"/>
    </w:rPr>
  </w:style>
  <w:style w:type="paragraph" w:styleId="9">
    <w:name w:val="Body Text Indent"/>
    <w:basedOn w:val="1"/>
    <w:autoRedefine/>
    <w:qFormat/>
    <w:uiPriority w:val="0"/>
    <w:pPr>
      <w:spacing w:after="120"/>
      <w:ind w:left="420" w:leftChars="200"/>
    </w:pPr>
    <w:rPr>
      <w:kern w:val="0"/>
      <w:sz w:val="20"/>
    </w:rPr>
  </w:style>
  <w:style w:type="paragraph" w:styleId="10">
    <w:name w:val="Plain Text"/>
    <w:basedOn w:val="1"/>
    <w:next w:val="1"/>
    <w:autoRedefine/>
    <w:qFormat/>
    <w:uiPriority w:val="0"/>
    <w:rPr>
      <w:rFonts w:ascii="宋体" w:hAnsi="Courier New"/>
      <w:szCs w:val="22"/>
    </w:rPr>
  </w:style>
  <w:style w:type="paragraph" w:styleId="11">
    <w:name w:val="Balloon Text"/>
    <w:basedOn w:val="1"/>
    <w:link w:val="60"/>
    <w:autoRedefine/>
    <w:qFormat/>
    <w:uiPriority w:val="0"/>
    <w:rPr>
      <w:sz w:val="18"/>
      <w:szCs w:val="18"/>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toc 2"/>
    <w:basedOn w:val="1"/>
    <w:next w:val="1"/>
    <w:autoRedefine/>
    <w:qFormat/>
    <w:uiPriority w:val="0"/>
    <w:pPr>
      <w:ind w:left="420" w:leftChars="200"/>
    </w:pPr>
  </w:style>
  <w:style w:type="paragraph" w:styleId="16">
    <w:name w:val="Body Text 2"/>
    <w:basedOn w:val="1"/>
    <w:autoRedefine/>
    <w:qFormat/>
    <w:uiPriority w:val="0"/>
    <w:pPr>
      <w:spacing w:after="120" w:line="480" w:lineRule="auto"/>
    </w:pPr>
    <w:rPr>
      <w:kern w:val="1"/>
      <w:szCs w:val="24"/>
      <w:lang w:eastAsia="ar-SA"/>
    </w:rPr>
  </w:style>
  <w:style w:type="paragraph" w:styleId="17">
    <w:name w:val="Normal (Web)"/>
    <w:basedOn w:val="1"/>
    <w:autoRedefine/>
    <w:qFormat/>
    <w:uiPriority w:val="0"/>
    <w:pPr>
      <w:jc w:val="left"/>
    </w:pPr>
    <w:rPr>
      <w:kern w:val="0"/>
      <w:sz w:val="24"/>
    </w:rPr>
  </w:style>
  <w:style w:type="paragraph" w:styleId="18">
    <w:name w:val="Title"/>
    <w:basedOn w:val="1"/>
    <w:next w:val="1"/>
    <w:autoRedefine/>
    <w:qFormat/>
    <w:uiPriority w:val="0"/>
    <w:pPr>
      <w:widowControl/>
      <w:spacing w:before="240" w:after="60"/>
      <w:jc w:val="center"/>
      <w:outlineLvl w:val="0"/>
    </w:pPr>
    <w:rPr>
      <w:rFonts w:ascii="Arial" w:hAnsi="Arial" w:cs="Arial"/>
      <w:b/>
      <w:bCs/>
      <w:kern w:val="0"/>
      <w:sz w:val="44"/>
      <w:szCs w:val="32"/>
    </w:rPr>
  </w:style>
  <w:style w:type="paragraph" w:styleId="19">
    <w:name w:val="annotation subject"/>
    <w:basedOn w:val="6"/>
    <w:next w:val="6"/>
    <w:link w:val="82"/>
    <w:qFormat/>
    <w:uiPriority w:val="0"/>
    <w:rPr>
      <w:b/>
      <w:bCs/>
    </w:rPr>
  </w:style>
  <w:style w:type="paragraph" w:styleId="20">
    <w:name w:val="Body Text First Indent 2"/>
    <w:basedOn w:val="9"/>
    <w:autoRedefine/>
    <w:unhideWhenUsed/>
    <w:qFormat/>
    <w:uiPriority w:val="99"/>
    <w:pPr>
      <w:ind w:firstLine="420" w:firstLineChars="200"/>
    </w:pPr>
    <w:rPr>
      <w:rFonts w:eastAsia="仿宋_GB2312"/>
      <w:sz w:val="32"/>
      <w:szCs w:val="24"/>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vanish/>
    </w:rPr>
  </w:style>
  <w:style w:type="character" w:styleId="25">
    <w:name w:val="page number"/>
    <w:basedOn w:val="23"/>
    <w:autoRedefine/>
    <w:qFormat/>
    <w:uiPriority w:val="0"/>
  </w:style>
  <w:style w:type="character" w:styleId="26">
    <w:name w:val="FollowedHyperlink"/>
    <w:basedOn w:val="23"/>
    <w:autoRedefine/>
    <w:qFormat/>
    <w:uiPriority w:val="0"/>
    <w:rPr>
      <w:color w:val="333333"/>
      <w:u w:val="none"/>
    </w:rPr>
  </w:style>
  <w:style w:type="character" w:styleId="27">
    <w:name w:val="Emphasis"/>
    <w:basedOn w:val="23"/>
    <w:autoRedefine/>
    <w:qFormat/>
    <w:uiPriority w:val="0"/>
    <w:rPr>
      <w:b/>
    </w:rPr>
  </w:style>
  <w:style w:type="character" w:styleId="28">
    <w:name w:val="HTML Definition"/>
    <w:basedOn w:val="23"/>
    <w:autoRedefine/>
    <w:qFormat/>
    <w:uiPriority w:val="0"/>
  </w:style>
  <w:style w:type="character" w:styleId="29">
    <w:name w:val="HTML Typewriter"/>
    <w:basedOn w:val="23"/>
    <w:autoRedefine/>
    <w:qFormat/>
    <w:uiPriority w:val="0"/>
    <w:rPr>
      <w:rFonts w:ascii="monospace" w:hAnsi="monospace" w:eastAsia="monospace" w:cs="monospace"/>
      <w:sz w:val="20"/>
    </w:rPr>
  </w:style>
  <w:style w:type="character" w:styleId="30">
    <w:name w:val="HTML Acronym"/>
    <w:basedOn w:val="23"/>
    <w:autoRedefine/>
    <w:qFormat/>
    <w:uiPriority w:val="0"/>
  </w:style>
  <w:style w:type="character" w:styleId="31">
    <w:name w:val="HTML Variable"/>
    <w:basedOn w:val="23"/>
    <w:autoRedefine/>
    <w:qFormat/>
    <w:uiPriority w:val="0"/>
  </w:style>
  <w:style w:type="character" w:styleId="32">
    <w:name w:val="Hyperlink"/>
    <w:basedOn w:val="23"/>
    <w:autoRedefine/>
    <w:qFormat/>
    <w:uiPriority w:val="99"/>
    <w:rPr>
      <w:color w:val="0000FF"/>
      <w:u w:val="single"/>
    </w:rPr>
  </w:style>
  <w:style w:type="character" w:styleId="33">
    <w:name w:val="HTML Code"/>
    <w:basedOn w:val="23"/>
    <w:autoRedefine/>
    <w:qFormat/>
    <w:uiPriority w:val="0"/>
    <w:rPr>
      <w:rFonts w:hint="default" w:ascii="monospace" w:hAnsi="monospace" w:eastAsia="monospace" w:cs="monospace"/>
      <w:sz w:val="20"/>
    </w:rPr>
  </w:style>
  <w:style w:type="character" w:styleId="34">
    <w:name w:val="annotation reference"/>
    <w:basedOn w:val="23"/>
    <w:autoRedefine/>
    <w:qFormat/>
    <w:uiPriority w:val="0"/>
    <w:rPr>
      <w:sz w:val="21"/>
      <w:szCs w:val="21"/>
    </w:rPr>
  </w:style>
  <w:style w:type="character" w:styleId="35">
    <w:name w:val="HTML Cite"/>
    <w:basedOn w:val="23"/>
    <w:autoRedefine/>
    <w:qFormat/>
    <w:uiPriority w:val="0"/>
  </w:style>
  <w:style w:type="character" w:styleId="36">
    <w:name w:val="HTML Keyboard"/>
    <w:basedOn w:val="23"/>
    <w:autoRedefine/>
    <w:qFormat/>
    <w:uiPriority w:val="0"/>
    <w:rPr>
      <w:rFonts w:hint="default" w:ascii="monospace" w:hAnsi="monospace" w:eastAsia="monospace" w:cs="monospace"/>
      <w:sz w:val="20"/>
    </w:rPr>
  </w:style>
  <w:style w:type="character" w:styleId="37">
    <w:name w:val="HTML Sample"/>
    <w:basedOn w:val="23"/>
    <w:autoRedefine/>
    <w:qFormat/>
    <w:uiPriority w:val="0"/>
    <w:rPr>
      <w:rFonts w:hint="default" w:ascii="monospace" w:hAnsi="monospace" w:eastAsia="monospace" w:cs="monospace"/>
    </w:rPr>
  </w:style>
  <w:style w:type="paragraph" w:customStyle="1" w:styleId="38">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列出段落1"/>
    <w:basedOn w:val="1"/>
    <w:autoRedefine/>
    <w:qFormat/>
    <w:uiPriority w:val="0"/>
    <w:pPr>
      <w:ind w:firstLine="420" w:firstLineChars="200"/>
    </w:pPr>
    <w:rPr>
      <w:rFonts w:ascii="Calibri" w:hAnsi="Calibri"/>
      <w:szCs w:val="22"/>
    </w:rPr>
  </w:style>
  <w:style w:type="paragraph" w:customStyle="1" w:styleId="40">
    <w:name w:val="Table Paragraph"/>
    <w:basedOn w:val="1"/>
    <w:autoRedefine/>
    <w:qFormat/>
    <w:uiPriority w:val="1"/>
    <w:pPr>
      <w:ind w:left="8"/>
      <w:jc w:val="center"/>
    </w:pPr>
  </w:style>
  <w:style w:type="character" w:customStyle="1" w:styleId="41">
    <w:name w:val="font11"/>
    <w:basedOn w:val="23"/>
    <w:autoRedefine/>
    <w:qFormat/>
    <w:uiPriority w:val="0"/>
    <w:rPr>
      <w:rFonts w:hint="eastAsia" w:ascii="宋体" w:hAnsi="宋体" w:eastAsia="宋体" w:cs="宋体"/>
      <w:color w:val="000000"/>
      <w:sz w:val="22"/>
      <w:szCs w:val="22"/>
      <w:u w:val="none"/>
    </w:rPr>
  </w:style>
  <w:style w:type="paragraph" w:styleId="42">
    <w:name w:val="List Paragraph"/>
    <w:basedOn w:val="1"/>
    <w:autoRedefine/>
    <w:qFormat/>
    <w:uiPriority w:val="0"/>
    <w:pPr>
      <w:ind w:firstLine="420" w:firstLineChars="200"/>
    </w:pPr>
    <w:rPr>
      <w:sz w:val="36"/>
    </w:rPr>
  </w:style>
  <w:style w:type="character" w:customStyle="1" w:styleId="43">
    <w:name w:val="layui-laypage-curr"/>
    <w:basedOn w:val="23"/>
    <w:autoRedefine/>
    <w:qFormat/>
    <w:uiPriority w:val="0"/>
  </w:style>
  <w:style w:type="character" w:customStyle="1" w:styleId="44">
    <w:name w:val="font51"/>
    <w:basedOn w:val="23"/>
    <w:autoRedefine/>
    <w:qFormat/>
    <w:uiPriority w:val="0"/>
    <w:rPr>
      <w:rFonts w:hint="default" w:ascii="Arial" w:hAnsi="Arial" w:cs="Arial"/>
      <w:color w:val="000000"/>
      <w:sz w:val="28"/>
      <w:szCs w:val="28"/>
      <w:u w:val="none"/>
    </w:rPr>
  </w:style>
  <w:style w:type="character" w:customStyle="1" w:styleId="45">
    <w:name w:val="font01"/>
    <w:basedOn w:val="23"/>
    <w:autoRedefine/>
    <w:qFormat/>
    <w:uiPriority w:val="0"/>
    <w:rPr>
      <w:rFonts w:hint="eastAsia" w:ascii="宋体" w:hAnsi="宋体" w:eastAsia="宋体" w:cs="宋体"/>
      <w:color w:val="000000"/>
      <w:sz w:val="28"/>
      <w:szCs w:val="28"/>
      <w:u w:val="none"/>
    </w:rPr>
  </w:style>
  <w:style w:type="character" w:customStyle="1" w:styleId="46">
    <w:name w:val="font131"/>
    <w:basedOn w:val="23"/>
    <w:autoRedefine/>
    <w:qFormat/>
    <w:uiPriority w:val="0"/>
    <w:rPr>
      <w:rFonts w:ascii="Arial" w:hAnsi="Arial" w:cs="Arial"/>
      <w:color w:val="000000"/>
      <w:sz w:val="22"/>
      <w:szCs w:val="22"/>
      <w:u w:val="none"/>
    </w:rPr>
  </w:style>
  <w:style w:type="character" w:customStyle="1" w:styleId="47">
    <w:name w:val="font191"/>
    <w:basedOn w:val="23"/>
    <w:autoRedefine/>
    <w:qFormat/>
    <w:uiPriority w:val="0"/>
    <w:rPr>
      <w:rFonts w:hint="eastAsia" w:ascii="宋体" w:hAnsi="宋体" w:eastAsia="宋体" w:cs="宋体"/>
      <w:color w:val="000000"/>
      <w:sz w:val="22"/>
      <w:szCs w:val="22"/>
      <w:u w:val="none"/>
    </w:rPr>
  </w:style>
  <w:style w:type="character" w:customStyle="1" w:styleId="48">
    <w:name w:val="font181"/>
    <w:basedOn w:val="23"/>
    <w:autoRedefine/>
    <w:qFormat/>
    <w:uiPriority w:val="0"/>
    <w:rPr>
      <w:rFonts w:hint="eastAsia" w:ascii="宋体" w:hAnsi="宋体" w:eastAsia="宋体" w:cs="宋体"/>
      <w:color w:val="00B0F0"/>
      <w:sz w:val="22"/>
      <w:szCs w:val="22"/>
      <w:u w:val="none"/>
    </w:rPr>
  </w:style>
  <w:style w:type="character" w:customStyle="1" w:styleId="49">
    <w:name w:val="font161"/>
    <w:basedOn w:val="23"/>
    <w:autoRedefine/>
    <w:qFormat/>
    <w:uiPriority w:val="0"/>
    <w:rPr>
      <w:rFonts w:hint="default" w:ascii="Times New Roman" w:hAnsi="Times New Roman" w:cs="Times New Roman"/>
      <w:color w:val="000000"/>
      <w:sz w:val="22"/>
      <w:szCs w:val="22"/>
      <w:u w:val="none"/>
    </w:rPr>
  </w:style>
  <w:style w:type="character" w:customStyle="1" w:styleId="50">
    <w:name w:val="font121"/>
    <w:basedOn w:val="23"/>
    <w:autoRedefine/>
    <w:qFormat/>
    <w:uiPriority w:val="0"/>
    <w:rPr>
      <w:rFonts w:hint="eastAsia" w:ascii="宋体" w:hAnsi="宋体" w:eastAsia="宋体" w:cs="宋体"/>
      <w:b/>
      <w:color w:val="00CCFF"/>
      <w:sz w:val="24"/>
      <w:szCs w:val="24"/>
      <w:u w:val="none"/>
    </w:rPr>
  </w:style>
  <w:style w:type="character" w:customStyle="1" w:styleId="51">
    <w:name w:val="font31"/>
    <w:basedOn w:val="23"/>
    <w:autoRedefine/>
    <w:qFormat/>
    <w:uiPriority w:val="0"/>
    <w:rPr>
      <w:rFonts w:hint="default" w:ascii="Times New Roman" w:hAnsi="Times New Roman" w:cs="Times New Roman"/>
      <w:color w:val="000000"/>
      <w:sz w:val="24"/>
      <w:szCs w:val="24"/>
      <w:u w:val="none"/>
    </w:rPr>
  </w:style>
  <w:style w:type="character" w:customStyle="1" w:styleId="52">
    <w:name w:val="font201"/>
    <w:basedOn w:val="23"/>
    <w:autoRedefine/>
    <w:qFormat/>
    <w:uiPriority w:val="0"/>
    <w:rPr>
      <w:rFonts w:hint="eastAsia" w:ascii="宋体" w:hAnsi="宋体" w:eastAsia="宋体" w:cs="宋体"/>
      <w:color w:val="00B0F0"/>
      <w:sz w:val="22"/>
      <w:szCs w:val="22"/>
      <w:u w:val="none"/>
    </w:rPr>
  </w:style>
  <w:style w:type="character" w:customStyle="1" w:styleId="53">
    <w:name w:val="font112"/>
    <w:basedOn w:val="23"/>
    <w:autoRedefine/>
    <w:qFormat/>
    <w:uiPriority w:val="0"/>
    <w:rPr>
      <w:rFonts w:hint="eastAsia" w:ascii="宋体" w:hAnsi="宋体" w:eastAsia="宋体" w:cs="宋体"/>
      <w:color w:val="FF0000"/>
      <w:sz w:val="22"/>
      <w:szCs w:val="22"/>
      <w:u w:val="none"/>
    </w:rPr>
  </w:style>
  <w:style w:type="character" w:customStyle="1" w:styleId="54">
    <w:name w:val="font151"/>
    <w:basedOn w:val="23"/>
    <w:autoRedefine/>
    <w:qFormat/>
    <w:uiPriority w:val="0"/>
    <w:rPr>
      <w:rFonts w:ascii="Arial" w:hAnsi="Arial" w:cs="Arial"/>
      <w:color w:val="000000"/>
      <w:sz w:val="22"/>
      <w:szCs w:val="22"/>
      <w:u w:val="none"/>
    </w:rPr>
  </w:style>
  <w:style w:type="character" w:customStyle="1" w:styleId="55">
    <w:name w:val="font212"/>
    <w:basedOn w:val="23"/>
    <w:autoRedefine/>
    <w:qFormat/>
    <w:uiPriority w:val="0"/>
    <w:rPr>
      <w:rFonts w:hint="eastAsia" w:ascii="宋体" w:hAnsi="宋体" w:eastAsia="宋体" w:cs="宋体"/>
      <w:color w:val="000000"/>
      <w:sz w:val="22"/>
      <w:szCs w:val="22"/>
      <w:u w:val="none"/>
    </w:rPr>
  </w:style>
  <w:style w:type="character" w:customStyle="1" w:styleId="56">
    <w:name w:val="font21"/>
    <w:basedOn w:val="23"/>
    <w:autoRedefine/>
    <w:qFormat/>
    <w:uiPriority w:val="0"/>
    <w:rPr>
      <w:rFonts w:hint="default" w:ascii="Arial" w:hAnsi="Arial" w:cs="Arial"/>
      <w:color w:val="00CCFF"/>
      <w:sz w:val="22"/>
      <w:szCs w:val="22"/>
      <w:u w:val="none"/>
    </w:rPr>
  </w:style>
  <w:style w:type="character" w:customStyle="1" w:styleId="57">
    <w:name w:val="font141"/>
    <w:basedOn w:val="23"/>
    <w:autoRedefine/>
    <w:qFormat/>
    <w:uiPriority w:val="0"/>
    <w:rPr>
      <w:rFonts w:hint="default" w:ascii="Arial" w:hAnsi="Arial" w:cs="Arial"/>
      <w:color w:val="000000"/>
      <w:sz w:val="24"/>
      <w:szCs w:val="24"/>
      <w:u w:val="none"/>
    </w:rPr>
  </w:style>
  <w:style w:type="character" w:customStyle="1" w:styleId="58">
    <w:name w:val="font71"/>
    <w:basedOn w:val="23"/>
    <w:autoRedefine/>
    <w:qFormat/>
    <w:uiPriority w:val="0"/>
    <w:rPr>
      <w:rFonts w:hint="default" w:ascii="Times New Roman" w:hAnsi="Times New Roman" w:cs="Times New Roman"/>
      <w:color w:val="000000"/>
      <w:sz w:val="24"/>
      <w:szCs w:val="24"/>
      <w:u w:val="none"/>
    </w:rPr>
  </w:style>
  <w:style w:type="character" w:customStyle="1" w:styleId="59">
    <w:name w:val="bsharetext"/>
    <w:basedOn w:val="23"/>
    <w:autoRedefine/>
    <w:qFormat/>
    <w:uiPriority w:val="0"/>
  </w:style>
  <w:style w:type="character" w:customStyle="1" w:styleId="60">
    <w:name w:val="批注框文本 字符"/>
    <w:basedOn w:val="23"/>
    <w:link w:val="11"/>
    <w:autoRedefine/>
    <w:qFormat/>
    <w:uiPriority w:val="0"/>
    <w:rPr>
      <w:kern w:val="2"/>
      <w:sz w:val="18"/>
      <w:szCs w:val="18"/>
    </w:rPr>
  </w:style>
  <w:style w:type="paragraph" w:customStyle="1" w:styleId="61">
    <w:name w:val="_Style 6"/>
    <w:basedOn w:val="1"/>
    <w:autoRedefine/>
    <w:qFormat/>
    <w:uiPriority w:val="0"/>
    <w:pPr>
      <w:ind w:firstLine="420" w:firstLineChars="200"/>
    </w:pPr>
    <w:rPr>
      <w:rFonts w:ascii="Calibri" w:hAnsi="Calibri"/>
      <w:szCs w:val="22"/>
    </w:rPr>
  </w:style>
  <w:style w:type="paragraph" w:customStyle="1" w:styleId="62">
    <w:name w:val="CM19"/>
    <w:basedOn w:val="63"/>
    <w:next w:val="63"/>
    <w:autoRedefine/>
    <w:unhideWhenUsed/>
    <w:qFormat/>
    <w:uiPriority w:val="99"/>
    <w:rPr>
      <w:rFonts w:hint="default"/>
    </w:rPr>
  </w:style>
  <w:style w:type="paragraph" w:customStyle="1" w:styleId="63">
    <w:name w:val="Default"/>
    <w:autoRedefine/>
    <w:unhideWhenUsed/>
    <w:qFormat/>
    <w:uiPriority w:val="99"/>
    <w:pPr>
      <w:widowControl w:val="0"/>
      <w:autoSpaceDE w:val="0"/>
      <w:autoSpaceDN w:val="0"/>
      <w:adjustRightInd w:val="0"/>
    </w:pPr>
    <w:rPr>
      <w:rFonts w:hint="eastAsia" w:ascii="仿宋" w:hAnsi="仿宋" w:eastAsia="仿宋" w:cs="Times New Roman"/>
      <w:color w:val="000000"/>
      <w:sz w:val="24"/>
      <w:lang w:val="en-US" w:eastAsia="zh-CN" w:bidi="ar-SA"/>
    </w:rPr>
  </w:style>
  <w:style w:type="paragraph" w:customStyle="1" w:styleId="64">
    <w:name w:val="CM11"/>
    <w:basedOn w:val="63"/>
    <w:next w:val="63"/>
    <w:autoRedefine/>
    <w:unhideWhenUsed/>
    <w:qFormat/>
    <w:uiPriority w:val="99"/>
    <w:pPr>
      <w:spacing w:line="520" w:lineRule="atLeast"/>
    </w:pPr>
    <w:rPr>
      <w:rFonts w:hint="default"/>
    </w:rPr>
  </w:style>
  <w:style w:type="paragraph" w:customStyle="1" w:styleId="65">
    <w:name w:val="CM13"/>
    <w:basedOn w:val="63"/>
    <w:next w:val="63"/>
    <w:autoRedefine/>
    <w:unhideWhenUsed/>
    <w:qFormat/>
    <w:uiPriority w:val="99"/>
    <w:pPr>
      <w:spacing w:line="520" w:lineRule="atLeast"/>
    </w:pPr>
    <w:rPr>
      <w:rFonts w:hint="default"/>
    </w:rPr>
  </w:style>
  <w:style w:type="paragraph" w:customStyle="1" w:styleId="66">
    <w:name w:val="CM14"/>
    <w:basedOn w:val="63"/>
    <w:next w:val="63"/>
    <w:autoRedefine/>
    <w:unhideWhenUsed/>
    <w:qFormat/>
    <w:uiPriority w:val="99"/>
    <w:pPr>
      <w:spacing w:line="546" w:lineRule="atLeast"/>
    </w:pPr>
    <w:rPr>
      <w:rFonts w:hint="default"/>
    </w:rPr>
  </w:style>
  <w:style w:type="paragraph" w:customStyle="1" w:styleId="67">
    <w:name w:val="正文_7"/>
    <w:autoRedefine/>
    <w:qFormat/>
    <w:uiPriority w:val="0"/>
    <w:rPr>
      <w:rFonts w:ascii="Times New Roman" w:hAnsi="Times New Roman" w:eastAsia="宋体" w:cs="Times New Roman"/>
      <w:sz w:val="21"/>
      <w:lang w:val="en-US" w:eastAsia="zh-CN" w:bidi="ar-SA"/>
    </w:rPr>
  </w:style>
  <w:style w:type="character" w:customStyle="1" w:styleId="68">
    <w:name w:val="NormalCharacter"/>
    <w:autoRedefine/>
    <w:semiHidden/>
    <w:qFormat/>
    <w:uiPriority w:val="0"/>
  </w:style>
  <w:style w:type="character" w:customStyle="1" w:styleId="69">
    <w:name w:val="font101"/>
    <w:basedOn w:val="23"/>
    <w:autoRedefine/>
    <w:qFormat/>
    <w:uiPriority w:val="0"/>
    <w:rPr>
      <w:rFonts w:hint="default" w:ascii="Times New Roman" w:hAnsi="Times New Roman" w:cs="Times New Roman"/>
      <w:color w:val="000000"/>
      <w:sz w:val="20"/>
      <w:szCs w:val="20"/>
      <w:u w:val="none"/>
    </w:rPr>
  </w:style>
  <w:style w:type="character" w:customStyle="1" w:styleId="70">
    <w:name w:val="font41"/>
    <w:basedOn w:val="23"/>
    <w:autoRedefine/>
    <w:qFormat/>
    <w:uiPriority w:val="0"/>
    <w:rPr>
      <w:rFonts w:hint="default" w:ascii="Times New Roman" w:hAnsi="Times New Roman" w:cs="Times New Roman"/>
      <w:color w:val="000000"/>
      <w:sz w:val="20"/>
      <w:szCs w:val="20"/>
      <w:u w:val="none"/>
    </w:rPr>
  </w:style>
  <w:style w:type="character" w:customStyle="1" w:styleId="71">
    <w:name w:val="font81"/>
    <w:basedOn w:val="23"/>
    <w:autoRedefine/>
    <w:qFormat/>
    <w:uiPriority w:val="0"/>
    <w:rPr>
      <w:rFonts w:ascii="Segoe UI Symbol" w:hAnsi="Segoe UI Symbol" w:eastAsia="Segoe UI Symbol" w:cs="Segoe UI Symbol"/>
      <w:color w:val="000000"/>
      <w:sz w:val="20"/>
      <w:szCs w:val="20"/>
      <w:u w:val="none"/>
    </w:rPr>
  </w:style>
  <w:style w:type="character" w:customStyle="1" w:styleId="72">
    <w:name w:val="font91"/>
    <w:basedOn w:val="23"/>
    <w:autoRedefine/>
    <w:qFormat/>
    <w:uiPriority w:val="0"/>
    <w:rPr>
      <w:rFonts w:ascii="Calibri" w:hAnsi="Calibri" w:cs="Calibri"/>
      <w:color w:val="000000"/>
      <w:sz w:val="20"/>
      <w:szCs w:val="20"/>
      <w:u w:val="none"/>
    </w:rPr>
  </w:style>
  <w:style w:type="paragraph" w:customStyle="1" w:styleId="73">
    <w:name w:val="Body Text First Indent 22"/>
    <w:basedOn w:val="74"/>
    <w:autoRedefine/>
    <w:qFormat/>
    <w:uiPriority w:val="0"/>
    <w:pPr>
      <w:ind w:firstLine="420"/>
    </w:pPr>
  </w:style>
  <w:style w:type="paragraph" w:customStyle="1" w:styleId="74">
    <w:name w:val="Body Text Indent2"/>
    <w:basedOn w:val="1"/>
    <w:next w:val="75"/>
    <w:autoRedefine/>
    <w:qFormat/>
    <w:uiPriority w:val="0"/>
    <w:pPr>
      <w:spacing w:after="120"/>
      <w:ind w:left="420" w:leftChars="200"/>
    </w:pPr>
  </w:style>
  <w:style w:type="paragraph" w:customStyle="1" w:styleId="75">
    <w:name w:val="Body Text First Indent 21"/>
    <w:basedOn w:val="76"/>
    <w:next w:val="7"/>
    <w:autoRedefine/>
    <w:qFormat/>
    <w:uiPriority w:val="0"/>
    <w:pPr>
      <w:ind w:firstLine="420"/>
    </w:pPr>
  </w:style>
  <w:style w:type="paragraph" w:customStyle="1" w:styleId="76">
    <w:name w:val="Body Text Indent1"/>
    <w:basedOn w:val="1"/>
    <w:next w:val="75"/>
    <w:autoRedefine/>
    <w:qFormat/>
    <w:uiPriority w:val="0"/>
    <w:pPr>
      <w:spacing w:line="500" w:lineRule="exact"/>
      <w:ind w:firstLine="880" w:firstLineChars="200"/>
    </w:pPr>
  </w:style>
  <w:style w:type="paragraph" w:customStyle="1" w:styleId="77">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table" w:customStyle="1" w:styleId="78">
    <w:name w:val="Table Normal"/>
    <w:autoRedefine/>
    <w:semiHidden/>
    <w:unhideWhenUsed/>
    <w:qFormat/>
    <w:uiPriority w:val="0"/>
    <w:tblPr>
      <w:tblCellMar>
        <w:top w:w="0" w:type="dxa"/>
        <w:left w:w="0" w:type="dxa"/>
        <w:bottom w:w="0" w:type="dxa"/>
        <w:right w:w="0" w:type="dxa"/>
      </w:tblCellMar>
    </w:tblPr>
  </w:style>
  <w:style w:type="character" w:customStyle="1" w:styleId="79">
    <w:name w:val="标题 1 字符"/>
    <w:link w:val="2"/>
    <w:autoRedefine/>
    <w:qFormat/>
    <w:uiPriority w:val="0"/>
    <w:rPr>
      <w:b/>
      <w:kern w:val="44"/>
      <w:sz w:val="28"/>
    </w:rPr>
  </w:style>
  <w:style w:type="paragraph" w:styleId="80">
    <w:name w:val="No Spacing"/>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81">
    <w:name w:val="批注文字 字符"/>
    <w:basedOn w:val="23"/>
    <w:link w:val="6"/>
    <w:qFormat/>
    <w:uiPriority w:val="0"/>
    <w:rPr>
      <w:kern w:val="2"/>
      <w:sz w:val="21"/>
    </w:rPr>
  </w:style>
  <w:style w:type="character" w:customStyle="1" w:styleId="82">
    <w:name w:val="批注主题 字符"/>
    <w:basedOn w:val="81"/>
    <w:link w:val="19"/>
    <w:qFormat/>
    <w:uiPriority w:val="0"/>
    <w:rPr>
      <w:b/>
      <w:bCs/>
      <w:kern w:val="2"/>
      <w:sz w:val="21"/>
    </w:rPr>
  </w:style>
  <w:style w:type="paragraph" w:customStyle="1" w:styleId="83">
    <w:name w:val="样式111111111111"/>
    <w:basedOn w:val="1"/>
    <w:unhideWhenUsed/>
    <w:qFormat/>
    <w:uiPriority w:val="0"/>
    <w:pPr>
      <w:keepNext/>
      <w:spacing w:line="600" w:lineRule="exact"/>
      <w:jc w:val="left"/>
    </w:pPr>
    <w:rPr>
      <w:rFonts w:hint="eastAsia" w:ascii="等线" w:hAnsi="等线" w:eastAsia="等线"/>
      <w:color w:val="000000"/>
      <w:sz w:val="24"/>
      <w:szCs w:val="22"/>
    </w:rPr>
  </w:style>
  <w:style w:type="paragraph" w:customStyle="1" w:styleId="84">
    <w:name w:val="无间隔1"/>
    <w:qFormat/>
    <w:uiPriority w:val="0"/>
    <w:rPr>
      <w:rFonts w:ascii="Times New Roman" w:hAnsi="Times New Roman" w:eastAsia="宋体" w:cs="Times New Roman"/>
      <w:sz w:val="22"/>
      <w:lang w:val="en-US" w:eastAsia="zh-CN" w:bidi="ar-SA"/>
    </w:rPr>
  </w:style>
  <w:style w:type="paragraph" w:customStyle="1" w:styleId="85">
    <w:name w:val="Table Text"/>
    <w:basedOn w:val="1"/>
    <w:autoRedefine/>
    <w:semiHidden/>
    <w:qFormat/>
    <w:uiPriority w:val="0"/>
    <w:rPr>
      <w:rFonts w:ascii="宋体" w:hAnsi="宋体" w:cs="宋体"/>
      <w:sz w:val="20"/>
      <w:lang w:eastAsia="en-US"/>
    </w:rPr>
  </w:style>
  <w:style w:type="paragraph" w:customStyle="1" w:styleId="86">
    <w:name w:val="列出段落2"/>
    <w:basedOn w:val="1"/>
    <w:qFormat/>
    <w:uiPriority w:val="0"/>
    <w:pPr>
      <w:widowControl/>
      <w:ind w:firstLine="420" w:firstLineChars="200"/>
      <w:jc w:val="left"/>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4.png"/><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5864D-1A53-4074-9FC0-BBC91F846E6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113</Pages>
  <Words>15662</Words>
  <Characters>16799</Characters>
  <Lines>690</Lines>
  <Paragraphs>194</Paragraphs>
  <TotalTime>0</TotalTime>
  <ScaleCrop>false</ScaleCrop>
  <LinksUpToDate>false</LinksUpToDate>
  <CharactersWithSpaces>17106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2020-05-11T05:08:00Z</dcterms:created>
  <dc:creator>Administrator</dc:creator>
  <cp:lastModifiedBy>zj</cp:lastModifiedBy>
  <cp:lastPrinted>2023-05-19T01:49:00Z</cp:lastPrinted>
  <dcterms:modified xsi:type="dcterms:W3CDTF">2025-04-21T06:29:09Z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34CDF4D02D5B44818C09CA2C2FCD9D28_13</vt:lpwstr>
  </property>
  <property fmtid="{D5CDD505-2E9C-101B-9397-08002B2CF9AE}" pid="4" name="KSOTemplateDocerSaveRecord">
    <vt:lpwstr>eyJoZGlkIjoiMDJkNTNlMDQ5MDAwYzBjMmEzODlhNDIzOTA0OGZjYmUiLCJ1c2VySWQiOiIxNDM5MzY4NzE1In0=</vt:lpwstr>
  </property>
</Properties>
</file>