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4E" w:rsidRPr="00185E54" w:rsidRDefault="0055254E">
      <w:pPr>
        <w:pStyle w:val="NormalWeb"/>
        <w:spacing w:before="0" w:beforeAutospacing="0" w:after="0" w:afterAutospacing="0" w:line="480" w:lineRule="atLeast"/>
        <w:jc w:val="both"/>
        <w:rPr>
          <w:rFonts w:ascii="黑体" w:eastAsia="黑体" w:hAnsi="黑体" w:cs="Times New Roman"/>
          <w:color w:val="000000"/>
          <w:sz w:val="32"/>
          <w:szCs w:val="32"/>
        </w:rPr>
      </w:pPr>
      <w:r w:rsidRPr="00185E54">
        <w:rPr>
          <w:rFonts w:ascii="黑体" w:eastAsia="黑体" w:hAnsi="黑体" w:cs="黑体" w:hint="eastAsia"/>
          <w:color w:val="000000"/>
          <w:sz w:val="32"/>
          <w:szCs w:val="32"/>
        </w:rPr>
        <w:t>附件</w:t>
      </w:r>
      <w:r w:rsidRPr="00185E54">
        <w:rPr>
          <w:rFonts w:ascii="黑体" w:eastAsia="黑体" w:hAnsi="黑体" w:cs="黑体"/>
          <w:color w:val="000000"/>
          <w:sz w:val="32"/>
          <w:szCs w:val="32"/>
        </w:rPr>
        <w:t>1</w:t>
      </w:r>
    </w:p>
    <w:p w:rsidR="0055254E" w:rsidRDefault="0055254E">
      <w:pPr>
        <w:pStyle w:val="NormalWeb"/>
        <w:spacing w:before="0" w:beforeAutospacing="0" w:after="0" w:afterAutospacing="0" w:line="480" w:lineRule="atLeast"/>
        <w:jc w:val="both"/>
        <w:rPr>
          <w:rFonts w:ascii="仿宋" w:eastAsia="仿宋" w:hAnsi="仿宋" w:cs="Times New Roman"/>
          <w:color w:val="000000"/>
        </w:rPr>
      </w:pPr>
    </w:p>
    <w:p w:rsidR="0055254E" w:rsidRDefault="0055254E" w:rsidP="008D6BED">
      <w:pPr>
        <w:jc w:val="center"/>
        <w:rPr>
          <w:rFonts w:ascii="宋体" w:cs="Times New Roman"/>
          <w:b/>
          <w:bCs/>
          <w:sz w:val="44"/>
          <w:szCs w:val="44"/>
        </w:rPr>
      </w:pPr>
      <w:r>
        <w:rPr>
          <w:rFonts w:ascii="宋体" w:hAnsi="宋体" w:cs="宋体" w:hint="eastAsia"/>
          <w:b/>
          <w:bCs/>
          <w:sz w:val="44"/>
          <w:szCs w:val="44"/>
        </w:rPr>
        <w:t>“贯彻落实习近平总书记在新时代推动东北全面振兴座谈会上的重要讲话精神”研究专项</w:t>
      </w:r>
    </w:p>
    <w:p w:rsidR="0055254E" w:rsidRDefault="0055254E" w:rsidP="008D6BED">
      <w:pPr>
        <w:jc w:val="center"/>
        <w:rPr>
          <w:rFonts w:ascii="宋体" w:cs="Times New Roman"/>
          <w:b/>
          <w:bCs/>
          <w:sz w:val="44"/>
          <w:szCs w:val="44"/>
        </w:rPr>
      </w:pPr>
      <w:r>
        <w:rPr>
          <w:rFonts w:ascii="宋体" w:hAnsi="宋体" w:cs="宋体" w:hint="eastAsia"/>
          <w:b/>
          <w:bCs/>
          <w:sz w:val="44"/>
          <w:szCs w:val="44"/>
        </w:rPr>
        <w:t>指南题目</w:t>
      </w:r>
    </w:p>
    <w:p w:rsidR="0055254E" w:rsidRDefault="0055254E">
      <w:pPr>
        <w:jc w:val="center"/>
        <w:rPr>
          <w:rFonts w:ascii="宋体" w:cs="Times New Roman"/>
          <w:b/>
          <w:bCs/>
          <w:sz w:val="44"/>
          <w:szCs w:val="44"/>
        </w:rPr>
      </w:pPr>
    </w:p>
    <w:p w:rsidR="0055254E" w:rsidRPr="00185E54" w:rsidRDefault="0055254E" w:rsidP="008D6BED">
      <w:pPr>
        <w:spacing w:line="300" w:lineRule="auto"/>
        <w:rPr>
          <w:rFonts w:ascii="仿宋" w:eastAsia="仿宋" w:hAnsi="仿宋" w:cs="仿宋"/>
          <w:sz w:val="32"/>
          <w:szCs w:val="32"/>
        </w:rPr>
      </w:pPr>
      <w:r w:rsidRPr="00185E54">
        <w:rPr>
          <w:rFonts w:ascii="仿宋" w:eastAsia="仿宋" w:hAnsi="仿宋" w:cs="仿宋"/>
          <w:sz w:val="32"/>
          <w:szCs w:val="32"/>
        </w:rPr>
        <w:t xml:space="preserve">1. </w:t>
      </w:r>
      <w:r w:rsidRPr="00185E54">
        <w:rPr>
          <w:rFonts w:ascii="仿宋" w:eastAsia="仿宋" w:hAnsi="仿宋" w:cs="仿宋" w:hint="eastAsia"/>
          <w:sz w:val="32"/>
          <w:szCs w:val="32"/>
        </w:rPr>
        <w:t>吉林省新质生产力培育问题研究</w:t>
      </w:r>
      <w:r w:rsidRPr="00185E54">
        <w:rPr>
          <w:rFonts w:ascii="仿宋" w:eastAsia="仿宋" w:hAnsi="仿宋" w:cs="仿宋"/>
          <w:sz w:val="32"/>
          <w:szCs w:val="32"/>
        </w:rPr>
        <w:t xml:space="preserve"> </w:t>
      </w:r>
    </w:p>
    <w:p w:rsidR="0055254E" w:rsidRPr="00185E54" w:rsidRDefault="0055254E" w:rsidP="008D6BED">
      <w:pPr>
        <w:spacing w:line="300" w:lineRule="auto"/>
        <w:rPr>
          <w:rFonts w:ascii="仿宋" w:eastAsia="仿宋" w:hAnsi="仿宋" w:cs="仿宋"/>
          <w:sz w:val="32"/>
          <w:szCs w:val="32"/>
        </w:rPr>
      </w:pPr>
      <w:r w:rsidRPr="00185E54">
        <w:rPr>
          <w:rFonts w:ascii="仿宋" w:eastAsia="仿宋" w:hAnsi="仿宋" w:cs="仿宋"/>
          <w:sz w:val="32"/>
          <w:szCs w:val="32"/>
        </w:rPr>
        <w:t xml:space="preserve">2. </w:t>
      </w:r>
      <w:r w:rsidRPr="00185E54">
        <w:rPr>
          <w:rFonts w:ascii="仿宋" w:eastAsia="仿宋" w:hAnsi="仿宋" w:cs="仿宋" w:hint="eastAsia"/>
          <w:sz w:val="32"/>
          <w:szCs w:val="32"/>
        </w:rPr>
        <w:t>加快推进吉林省新能源汽车全产业链建设研究</w:t>
      </w:r>
      <w:r w:rsidRPr="00185E54">
        <w:rPr>
          <w:rFonts w:ascii="仿宋" w:eastAsia="仿宋" w:hAnsi="仿宋" w:cs="仿宋"/>
          <w:sz w:val="32"/>
          <w:szCs w:val="32"/>
        </w:rPr>
        <w:t xml:space="preserve">  </w:t>
      </w:r>
    </w:p>
    <w:p w:rsidR="0055254E" w:rsidRPr="00185E54" w:rsidRDefault="0055254E" w:rsidP="008D6BED">
      <w:pPr>
        <w:spacing w:line="300" w:lineRule="auto"/>
        <w:rPr>
          <w:rFonts w:ascii="仿宋" w:eastAsia="仿宋" w:hAnsi="仿宋" w:cs="Times New Roman"/>
          <w:sz w:val="32"/>
          <w:szCs w:val="32"/>
        </w:rPr>
      </w:pPr>
      <w:r w:rsidRPr="00185E54">
        <w:rPr>
          <w:rFonts w:ascii="仿宋" w:eastAsia="仿宋" w:hAnsi="仿宋" w:cs="仿宋"/>
          <w:sz w:val="32"/>
          <w:szCs w:val="32"/>
        </w:rPr>
        <w:t xml:space="preserve">3. </w:t>
      </w:r>
      <w:r w:rsidRPr="00185E54">
        <w:rPr>
          <w:rFonts w:ascii="仿宋" w:eastAsia="仿宋" w:hAnsi="仿宋" w:cs="仿宋" w:hint="eastAsia"/>
          <w:sz w:val="32"/>
          <w:szCs w:val="32"/>
        </w:rPr>
        <w:t>吉林省卫星及应用产业高质量发展问题研究</w:t>
      </w:r>
    </w:p>
    <w:p w:rsidR="0055254E" w:rsidRDefault="0055254E" w:rsidP="008D6BED">
      <w:pPr>
        <w:spacing w:line="300" w:lineRule="auto"/>
        <w:rPr>
          <w:rFonts w:ascii="仿宋" w:eastAsia="仿宋" w:hAnsi="仿宋" w:cs="Times New Roman"/>
          <w:sz w:val="32"/>
          <w:szCs w:val="32"/>
        </w:rPr>
      </w:pPr>
      <w:r w:rsidRPr="00185E54">
        <w:rPr>
          <w:rFonts w:ascii="仿宋" w:eastAsia="仿宋" w:hAnsi="仿宋" w:cs="仿宋"/>
          <w:sz w:val="32"/>
          <w:szCs w:val="32"/>
        </w:rPr>
        <w:t xml:space="preserve">4. </w:t>
      </w:r>
      <w:r w:rsidRPr="00185E54">
        <w:rPr>
          <w:rFonts w:ascii="仿宋" w:eastAsia="仿宋" w:hAnsi="仿宋" w:cs="仿宋" w:hint="eastAsia"/>
          <w:sz w:val="32"/>
          <w:szCs w:val="32"/>
        </w:rPr>
        <w:t>吉林省打造世界级冰雪品牌的难点与对策研究</w:t>
      </w:r>
    </w:p>
    <w:p w:rsidR="0055254E" w:rsidRPr="00185E54" w:rsidRDefault="0055254E" w:rsidP="008D6BED">
      <w:pPr>
        <w:spacing w:line="300" w:lineRule="auto"/>
        <w:rPr>
          <w:rFonts w:ascii="仿宋" w:eastAsia="仿宋" w:hAnsi="仿宋" w:cs="Times New Roman"/>
          <w:sz w:val="32"/>
          <w:szCs w:val="32"/>
        </w:rPr>
      </w:pPr>
      <w:r w:rsidRPr="00185E54">
        <w:rPr>
          <w:rFonts w:ascii="仿宋" w:eastAsia="仿宋" w:hAnsi="仿宋" w:cs="仿宋"/>
          <w:sz w:val="32"/>
          <w:szCs w:val="32"/>
        </w:rPr>
        <w:t xml:space="preserve">5. </w:t>
      </w:r>
      <w:r w:rsidRPr="00185E54">
        <w:rPr>
          <w:rFonts w:ascii="仿宋" w:eastAsia="仿宋" w:hAnsi="仿宋" w:cs="仿宋" w:hint="eastAsia"/>
          <w:sz w:val="32"/>
          <w:szCs w:val="32"/>
        </w:rPr>
        <w:t>吉林省优势种业企业加快发展问题研究</w:t>
      </w:r>
    </w:p>
    <w:p w:rsidR="0055254E" w:rsidRDefault="0055254E" w:rsidP="008D6BED">
      <w:pPr>
        <w:spacing w:line="300" w:lineRule="auto"/>
        <w:rPr>
          <w:rFonts w:ascii="仿宋" w:eastAsia="仿宋" w:hAnsi="仿宋" w:cs="Times New Roman"/>
          <w:sz w:val="32"/>
          <w:szCs w:val="32"/>
        </w:rPr>
      </w:pPr>
      <w:r w:rsidRPr="00185E54">
        <w:rPr>
          <w:rFonts w:ascii="仿宋" w:eastAsia="仿宋" w:hAnsi="仿宋" w:cs="仿宋"/>
          <w:sz w:val="32"/>
          <w:szCs w:val="32"/>
        </w:rPr>
        <w:t xml:space="preserve">6. </w:t>
      </w:r>
      <w:r w:rsidRPr="00185E54">
        <w:rPr>
          <w:rFonts w:ascii="仿宋" w:eastAsia="仿宋" w:hAnsi="仿宋" w:cs="仿宋" w:hint="eastAsia"/>
          <w:sz w:val="32"/>
          <w:szCs w:val="32"/>
        </w:rPr>
        <w:t>吉林省千亿级人参产业发展路径研究</w:t>
      </w:r>
    </w:p>
    <w:p w:rsidR="0055254E" w:rsidRDefault="0055254E" w:rsidP="00DE7614">
      <w:pPr>
        <w:spacing w:line="300" w:lineRule="auto"/>
        <w:ind w:left="31680" w:hangingChars="200" w:firstLine="31680"/>
        <w:rPr>
          <w:rFonts w:ascii="仿宋" w:eastAsia="仿宋" w:hAnsi="仿宋" w:cs="Times New Roman"/>
          <w:sz w:val="32"/>
          <w:szCs w:val="32"/>
        </w:rPr>
      </w:pPr>
      <w:r w:rsidRPr="00185E54">
        <w:rPr>
          <w:rFonts w:ascii="仿宋" w:eastAsia="仿宋" w:hAnsi="仿宋" w:cs="仿宋"/>
          <w:sz w:val="32"/>
          <w:szCs w:val="32"/>
        </w:rPr>
        <w:t xml:space="preserve">7. </w:t>
      </w:r>
      <w:r w:rsidRPr="00185E54">
        <w:rPr>
          <w:rFonts w:ascii="仿宋" w:eastAsia="仿宋" w:hAnsi="仿宋" w:cs="仿宋" w:hint="eastAsia"/>
          <w:sz w:val="32"/>
          <w:szCs w:val="32"/>
        </w:rPr>
        <w:t>白松长通至辽宁</w:t>
      </w:r>
      <w:r w:rsidRPr="00185E54">
        <w:rPr>
          <w:rFonts w:ascii="仿宋" w:eastAsia="仿宋" w:hAnsi="仿宋" w:cs="仿宋"/>
          <w:sz w:val="32"/>
          <w:szCs w:val="32"/>
        </w:rPr>
        <w:t>(</w:t>
      </w:r>
      <w:r w:rsidRPr="00185E54">
        <w:rPr>
          <w:rFonts w:ascii="仿宋" w:eastAsia="仿宋" w:hAnsi="仿宋" w:cs="仿宋" w:hint="eastAsia"/>
          <w:sz w:val="32"/>
          <w:szCs w:val="32"/>
        </w:rPr>
        <w:t>丹东港、营口港、大连港</w:t>
      </w:r>
      <w:r w:rsidRPr="00185E54">
        <w:rPr>
          <w:rFonts w:ascii="仿宋" w:eastAsia="仿宋" w:hAnsi="仿宋" w:cs="仿宋"/>
          <w:sz w:val="32"/>
          <w:szCs w:val="32"/>
        </w:rPr>
        <w:t>)</w:t>
      </w:r>
      <w:r w:rsidRPr="00185E54">
        <w:rPr>
          <w:rFonts w:ascii="仿宋" w:eastAsia="仿宋" w:hAnsi="仿宋" w:cs="仿宋" w:hint="eastAsia"/>
          <w:sz w:val="32"/>
          <w:szCs w:val="32"/>
        </w:rPr>
        <w:t>大通道建设成效</w:t>
      </w:r>
    </w:p>
    <w:p w:rsidR="0055254E" w:rsidRPr="00185E54" w:rsidRDefault="0055254E" w:rsidP="00DE7614">
      <w:pPr>
        <w:spacing w:line="300" w:lineRule="auto"/>
        <w:ind w:leftChars="228" w:left="31680" w:hangingChars="50" w:firstLine="31680"/>
        <w:rPr>
          <w:rFonts w:ascii="仿宋" w:eastAsia="仿宋" w:hAnsi="仿宋" w:cs="Times New Roman"/>
          <w:sz w:val="32"/>
          <w:szCs w:val="32"/>
        </w:rPr>
      </w:pPr>
      <w:r w:rsidRPr="00185E54">
        <w:rPr>
          <w:rFonts w:ascii="仿宋" w:eastAsia="仿宋" w:hAnsi="仿宋" w:cs="仿宋" w:hint="eastAsia"/>
          <w:sz w:val="32"/>
          <w:szCs w:val="32"/>
        </w:rPr>
        <w:t>评估及对策研究</w:t>
      </w:r>
    </w:p>
    <w:p w:rsidR="0055254E" w:rsidRPr="00185E54" w:rsidRDefault="0055254E" w:rsidP="008D6BED">
      <w:pPr>
        <w:spacing w:line="300" w:lineRule="auto"/>
        <w:rPr>
          <w:rFonts w:ascii="仿宋" w:eastAsia="仿宋" w:hAnsi="仿宋" w:cs="Times New Roman"/>
          <w:sz w:val="32"/>
          <w:szCs w:val="32"/>
        </w:rPr>
      </w:pPr>
      <w:r w:rsidRPr="00185E54">
        <w:rPr>
          <w:rFonts w:ascii="仿宋" w:eastAsia="仿宋" w:hAnsi="仿宋" w:cs="仿宋"/>
          <w:sz w:val="32"/>
          <w:szCs w:val="32"/>
        </w:rPr>
        <w:t xml:space="preserve">8. </w:t>
      </w:r>
      <w:r w:rsidRPr="00185E54">
        <w:rPr>
          <w:rFonts w:ascii="仿宋" w:eastAsia="仿宋" w:hAnsi="仿宋" w:cs="仿宋" w:hint="eastAsia"/>
          <w:sz w:val="32"/>
          <w:szCs w:val="32"/>
        </w:rPr>
        <w:t>推动吉浙两地产业链上下游企业精准对接问题研究</w:t>
      </w:r>
    </w:p>
    <w:p w:rsidR="0055254E" w:rsidRDefault="0055254E" w:rsidP="008D6BED">
      <w:pPr>
        <w:spacing w:line="300" w:lineRule="auto"/>
        <w:rPr>
          <w:rFonts w:ascii="仿宋" w:eastAsia="仿宋" w:hAnsi="仿宋" w:cs="Times New Roman"/>
          <w:sz w:val="32"/>
          <w:szCs w:val="32"/>
        </w:rPr>
      </w:pPr>
      <w:r w:rsidRPr="00185E54">
        <w:rPr>
          <w:rFonts w:ascii="仿宋" w:eastAsia="仿宋" w:hAnsi="仿宋" w:cs="仿宋"/>
          <w:sz w:val="32"/>
          <w:szCs w:val="32"/>
        </w:rPr>
        <w:t xml:space="preserve">9. </w:t>
      </w:r>
      <w:r w:rsidRPr="00185E54">
        <w:rPr>
          <w:rFonts w:ascii="仿宋" w:eastAsia="仿宋" w:hAnsi="仿宋" w:cs="仿宋" w:hint="eastAsia"/>
          <w:sz w:val="32"/>
          <w:szCs w:val="32"/>
        </w:rPr>
        <w:t>吉林省外贸新业态发展研究</w:t>
      </w:r>
    </w:p>
    <w:p w:rsidR="0055254E" w:rsidRPr="00185E54" w:rsidRDefault="0055254E" w:rsidP="00DE7614">
      <w:pPr>
        <w:spacing w:line="300" w:lineRule="auto"/>
        <w:rPr>
          <w:rFonts w:ascii="仿宋" w:eastAsia="仿宋" w:hAnsi="仿宋" w:cs="Times New Roman"/>
          <w:sz w:val="32"/>
          <w:szCs w:val="32"/>
        </w:rPr>
      </w:pPr>
      <w:r w:rsidRPr="00185E54">
        <w:rPr>
          <w:rFonts w:ascii="仿宋" w:eastAsia="仿宋" w:hAnsi="仿宋" w:cs="仿宋"/>
          <w:sz w:val="32"/>
          <w:szCs w:val="32"/>
        </w:rPr>
        <w:t>10.</w:t>
      </w:r>
      <w:r w:rsidRPr="00185E54">
        <w:rPr>
          <w:rFonts w:ascii="仿宋" w:eastAsia="仿宋" w:hAnsi="仿宋" w:cs="仿宋" w:hint="eastAsia"/>
          <w:sz w:val="32"/>
          <w:szCs w:val="32"/>
        </w:rPr>
        <w:t>提升吉林省边境县城产业承载能力及人口聚集能力研究</w:t>
      </w:r>
    </w:p>
    <w:p w:rsidR="0055254E" w:rsidRDefault="0055254E" w:rsidP="00DE7614">
      <w:pPr>
        <w:spacing w:line="300" w:lineRule="auto"/>
        <w:rPr>
          <w:rFonts w:ascii="仿宋" w:eastAsia="仿宋" w:hAnsi="仿宋" w:cs="Times New Roman"/>
          <w:sz w:val="32"/>
          <w:szCs w:val="32"/>
        </w:rPr>
      </w:pPr>
      <w:r w:rsidRPr="00185E54">
        <w:rPr>
          <w:rFonts w:ascii="仿宋" w:eastAsia="仿宋" w:hAnsi="仿宋" w:cs="仿宋"/>
          <w:sz w:val="32"/>
          <w:szCs w:val="32"/>
        </w:rPr>
        <w:t>11.</w:t>
      </w:r>
      <w:r w:rsidRPr="00185E54">
        <w:rPr>
          <w:rFonts w:ascii="仿宋" w:eastAsia="仿宋" w:hAnsi="仿宋" w:cs="仿宋" w:hint="eastAsia"/>
          <w:sz w:val="32"/>
          <w:szCs w:val="32"/>
        </w:rPr>
        <w:t>国家“五大安全”背景下吉林省现代化基础设施建设问题研究</w:t>
      </w:r>
    </w:p>
    <w:p w:rsidR="0055254E" w:rsidRDefault="0055254E" w:rsidP="00DE7614">
      <w:pPr>
        <w:spacing w:line="300" w:lineRule="auto"/>
        <w:rPr>
          <w:rFonts w:ascii="仿宋" w:eastAsia="仿宋" w:hAnsi="仿宋" w:cs="Times New Roman"/>
          <w:sz w:val="32"/>
          <w:szCs w:val="32"/>
        </w:rPr>
      </w:pPr>
      <w:bookmarkStart w:id="0" w:name="_GoBack"/>
      <w:bookmarkEnd w:id="0"/>
      <w:r w:rsidRPr="00185E54">
        <w:rPr>
          <w:rFonts w:ascii="仿宋" w:eastAsia="仿宋" w:hAnsi="仿宋" w:cs="仿宋"/>
          <w:sz w:val="32"/>
          <w:szCs w:val="32"/>
        </w:rPr>
        <w:t>12.</w:t>
      </w:r>
      <w:r w:rsidRPr="00185E54">
        <w:rPr>
          <w:rFonts w:ascii="仿宋" w:eastAsia="仿宋" w:hAnsi="仿宋" w:cs="仿宋" w:hint="eastAsia"/>
          <w:sz w:val="32"/>
          <w:szCs w:val="32"/>
        </w:rPr>
        <w:t>吉林省加快绿电就地消纳利用问题研究</w:t>
      </w:r>
    </w:p>
    <w:p w:rsidR="0055254E" w:rsidRDefault="0055254E" w:rsidP="00DE7614">
      <w:pPr>
        <w:spacing w:line="300" w:lineRule="auto"/>
        <w:rPr>
          <w:rFonts w:ascii="仿宋" w:eastAsia="仿宋" w:hAnsi="仿宋" w:cs="Times New Roman"/>
          <w:sz w:val="32"/>
          <w:szCs w:val="32"/>
        </w:rPr>
      </w:pPr>
      <w:r w:rsidRPr="00185E54">
        <w:rPr>
          <w:rFonts w:ascii="仿宋" w:eastAsia="仿宋" w:hAnsi="仿宋" w:cs="仿宋"/>
          <w:sz w:val="32"/>
          <w:szCs w:val="32"/>
        </w:rPr>
        <w:t>13.</w:t>
      </w:r>
      <w:r w:rsidRPr="00185E54">
        <w:rPr>
          <w:rFonts w:ascii="仿宋" w:eastAsia="仿宋" w:hAnsi="仿宋" w:cs="仿宋" w:hint="eastAsia"/>
          <w:sz w:val="32"/>
          <w:szCs w:val="32"/>
        </w:rPr>
        <w:t>新时代吉林省生态资源价值评估体系与价格决定机制研究</w:t>
      </w:r>
    </w:p>
    <w:p w:rsidR="0055254E" w:rsidRDefault="0055254E" w:rsidP="00DE7614">
      <w:pPr>
        <w:spacing w:line="300" w:lineRule="auto"/>
        <w:rPr>
          <w:rFonts w:ascii="仿宋" w:eastAsia="仿宋" w:hAnsi="仿宋" w:cs="Times New Roman"/>
          <w:sz w:val="32"/>
          <w:szCs w:val="32"/>
        </w:rPr>
      </w:pPr>
      <w:r w:rsidRPr="00185E54">
        <w:rPr>
          <w:rFonts w:ascii="仿宋" w:eastAsia="仿宋" w:hAnsi="仿宋" w:cs="仿宋"/>
          <w:sz w:val="32"/>
          <w:szCs w:val="32"/>
        </w:rPr>
        <w:t>14.</w:t>
      </w:r>
      <w:r w:rsidRPr="00185E54">
        <w:rPr>
          <w:rFonts w:ascii="仿宋" w:eastAsia="仿宋" w:hAnsi="仿宋" w:cs="仿宋" w:hint="eastAsia"/>
          <w:sz w:val="32"/>
          <w:szCs w:val="32"/>
        </w:rPr>
        <w:t>吉林省文化资源优势转化为发展优势对策研究</w:t>
      </w:r>
    </w:p>
    <w:p w:rsidR="0055254E" w:rsidRDefault="0055254E">
      <w:pPr>
        <w:spacing w:line="300" w:lineRule="auto"/>
        <w:rPr>
          <w:rFonts w:ascii="方正书宋_GBK" w:eastAsia="方正书宋_GBK" w:hAnsi="方正书宋_GBK" w:cs="Times New Roman"/>
          <w:sz w:val="30"/>
          <w:szCs w:val="30"/>
        </w:rPr>
      </w:pPr>
      <w:r w:rsidRPr="00185E54">
        <w:rPr>
          <w:rFonts w:ascii="仿宋" w:eastAsia="仿宋" w:hAnsi="仿宋" w:cs="仿宋"/>
          <w:sz w:val="32"/>
          <w:szCs w:val="32"/>
        </w:rPr>
        <w:t>15.</w:t>
      </w:r>
      <w:r w:rsidRPr="00185E54">
        <w:rPr>
          <w:rFonts w:ascii="仿宋" w:eastAsia="仿宋" w:hAnsi="仿宋" w:cs="仿宋" w:hint="eastAsia"/>
          <w:sz w:val="32"/>
          <w:szCs w:val="32"/>
        </w:rPr>
        <w:t>长春现代化都市圈引领作用提升研究</w:t>
      </w:r>
    </w:p>
    <w:sectPr w:rsidR="0055254E" w:rsidSect="003305AC">
      <w:footerReference w:type="default" r:id="rId6"/>
      <w:pgSz w:w="11906" w:h="16838"/>
      <w:pgMar w:top="1440" w:right="1304" w:bottom="1440"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54E" w:rsidRDefault="0055254E" w:rsidP="00397FC3">
      <w:pPr>
        <w:rPr>
          <w:rFonts w:cs="Times New Roman"/>
        </w:rPr>
      </w:pPr>
      <w:r>
        <w:rPr>
          <w:rFonts w:cs="Times New Roman"/>
        </w:rPr>
        <w:separator/>
      </w:r>
    </w:p>
  </w:endnote>
  <w:endnote w:type="continuationSeparator" w:id="0">
    <w:p w:rsidR="0055254E" w:rsidRDefault="0055254E" w:rsidP="00397FC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书宋_GBK">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4E" w:rsidRDefault="0055254E">
    <w:pPr>
      <w:pStyle w:val="Footer"/>
      <w:rPr>
        <w:rFonts w:cs="Times New Roman"/>
      </w:rPr>
    </w:pPr>
    <w:r>
      <w:rPr>
        <w:noProof/>
      </w:rP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60288;mso-wrap-style:none;mso-position-horizontal:center;mso-position-horizontal-relative:margin" filled="f" stroked="f">
          <v:textbox style="mso-next-textbox:#文本框 1025;mso-fit-shape-to-text:t" inset="0,0,0,0">
            <w:txbxContent>
              <w:p w:rsidR="0055254E" w:rsidRDefault="0055254E">
                <w:pPr>
                  <w:pStyle w:val="Footer"/>
                  <w:rPr>
                    <w:rFonts w:cs="Times New Roman"/>
                  </w:rP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54E" w:rsidRDefault="0055254E" w:rsidP="00397FC3">
      <w:pPr>
        <w:rPr>
          <w:rFonts w:cs="Times New Roman"/>
        </w:rPr>
      </w:pPr>
      <w:r>
        <w:rPr>
          <w:rFonts w:cs="Times New Roman"/>
        </w:rPr>
        <w:separator/>
      </w:r>
    </w:p>
  </w:footnote>
  <w:footnote w:type="continuationSeparator" w:id="0">
    <w:p w:rsidR="0055254E" w:rsidRDefault="0055254E" w:rsidP="00397FC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722"/>
    <w:rsid w:val="8BFFFC84"/>
    <w:rsid w:val="ADFBDF0A"/>
    <w:rsid w:val="ECDDA62E"/>
    <w:rsid w:val="EF57982D"/>
    <w:rsid w:val="F68379A0"/>
    <w:rsid w:val="F7A17CE0"/>
    <w:rsid w:val="FBABC69E"/>
    <w:rsid w:val="FDEA2A97"/>
    <w:rsid w:val="FDF79D78"/>
    <w:rsid w:val="FEFF6A82"/>
    <w:rsid w:val="FF783B5F"/>
    <w:rsid w:val="FFEC05A1"/>
    <w:rsid w:val="00004366"/>
    <w:rsid w:val="00061474"/>
    <w:rsid w:val="000969F0"/>
    <w:rsid w:val="000C4911"/>
    <w:rsid w:val="000D59C4"/>
    <w:rsid w:val="000F0A88"/>
    <w:rsid w:val="00142EB2"/>
    <w:rsid w:val="00144349"/>
    <w:rsid w:val="00176F93"/>
    <w:rsid w:val="00185E54"/>
    <w:rsid w:val="001C1722"/>
    <w:rsid w:val="001C2132"/>
    <w:rsid w:val="00213502"/>
    <w:rsid w:val="00245C88"/>
    <w:rsid w:val="00265E5D"/>
    <w:rsid w:val="002703A6"/>
    <w:rsid w:val="002879AA"/>
    <w:rsid w:val="002B0A2F"/>
    <w:rsid w:val="002C6B0C"/>
    <w:rsid w:val="003305AC"/>
    <w:rsid w:val="00330C39"/>
    <w:rsid w:val="003566F5"/>
    <w:rsid w:val="0038283D"/>
    <w:rsid w:val="00397FC3"/>
    <w:rsid w:val="003B37EE"/>
    <w:rsid w:val="004211DE"/>
    <w:rsid w:val="00424F99"/>
    <w:rsid w:val="00462607"/>
    <w:rsid w:val="00467CE3"/>
    <w:rsid w:val="004C2697"/>
    <w:rsid w:val="00514D65"/>
    <w:rsid w:val="00516835"/>
    <w:rsid w:val="0055254E"/>
    <w:rsid w:val="00580746"/>
    <w:rsid w:val="005C513A"/>
    <w:rsid w:val="005D06F9"/>
    <w:rsid w:val="005E6D84"/>
    <w:rsid w:val="00600B92"/>
    <w:rsid w:val="00667C5F"/>
    <w:rsid w:val="00682D56"/>
    <w:rsid w:val="00705543"/>
    <w:rsid w:val="00747A9A"/>
    <w:rsid w:val="007C358C"/>
    <w:rsid w:val="007F7444"/>
    <w:rsid w:val="00814F12"/>
    <w:rsid w:val="00826B6F"/>
    <w:rsid w:val="00867464"/>
    <w:rsid w:val="00890D80"/>
    <w:rsid w:val="008B3A8B"/>
    <w:rsid w:val="008C3F56"/>
    <w:rsid w:val="008D6BED"/>
    <w:rsid w:val="00940003"/>
    <w:rsid w:val="0094563B"/>
    <w:rsid w:val="009F0391"/>
    <w:rsid w:val="009F1B47"/>
    <w:rsid w:val="009F2912"/>
    <w:rsid w:val="00A56DC1"/>
    <w:rsid w:val="00A57AB6"/>
    <w:rsid w:val="00A971AB"/>
    <w:rsid w:val="00AC01AD"/>
    <w:rsid w:val="00AC2119"/>
    <w:rsid w:val="00B056F9"/>
    <w:rsid w:val="00B11C89"/>
    <w:rsid w:val="00B12FE9"/>
    <w:rsid w:val="00B7755E"/>
    <w:rsid w:val="00BD2DD8"/>
    <w:rsid w:val="00C070A4"/>
    <w:rsid w:val="00C221AA"/>
    <w:rsid w:val="00CA1F0D"/>
    <w:rsid w:val="00CA3665"/>
    <w:rsid w:val="00CF7065"/>
    <w:rsid w:val="00D16233"/>
    <w:rsid w:val="00D27E49"/>
    <w:rsid w:val="00D543FA"/>
    <w:rsid w:val="00D57697"/>
    <w:rsid w:val="00D95A00"/>
    <w:rsid w:val="00D95A68"/>
    <w:rsid w:val="00DB25C2"/>
    <w:rsid w:val="00DC2ED2"/>
    <w:rsid w:val="00DE7614"/>
    <w:rsid w:val="00DF6BAB"/>
    <w:rsid w:val="00E14031"/>
    <w:rsid w:val="00E56EBC"/>
    <w:rsid w:val="00EB1C9C"/>
    <w:rsid w:val="00F212E1"/>
    <w:rsid w:val="00F2580D"/>
    <w:rsid w:val="00F93ABC"/>
    <w:rsid w:val="00F952FA"/>
    <w:rsid w:val="00FB6EF3"/>
    <w:rsid w:val="3AF77832"/>
    <w:rsid w:val="3DFF3D91"/>
    <w:rsid w:val="3E5AA406"/>
    <w:rsid w:val="3FAFA184"/>
    <w:rsid w:val="3FFA4B1B"/>
    <w:rsid w:val="5EBFC8CB"/>
    <w:rsid w:val="67BBF3A2"/>
    <w:rsid w:val="6F8B64DB"/>
    <w:rsid w:val="76557E7F"/>
    <w:rsid w:val="7BFD1928"/>
    <w:rsid w:val="7CDF342C"/>
    <w:rsid w:val="7D1F8B65"/>
    <w:rsid w:val="7FEF42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C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7FC3"/>
    <w:rPr>
      <w:sz w:val="18"/>
      <w:szCs w:val="18"/>
    </w:rPr>
  </w:style>
  <w:style w:type="character" w:customStyle="1" w:styleId="BalloonTextChar">
    <w:name w:val="Balloon Text Char"/>
    <w:basedOn w:val="DefaultParagraphFont"/>
    <w:link w:val="BalloonText"/>
    <w:uiPriority w:val="99"/>
    <w:semiHidden/>
    <w:locked/>
    <w:rsid w:val="00397FC3"/>
    <w:rPr>
      <w:sz w:val="2"/>
      <w:szCs w:val="2"/>
    </w:rPr>
  </w:style>
  <w:style w:type="paragraph" w:styleId="Footer">
    <w:name w:val="footer"/>
    <w:basedOn w:val="Normal"/>
    <w:link w:val="FooterChar"/>
    <w:uiPriority w:val="99"/>
    <w:semiHidden/>
    <w:rsid w:val="00397F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97FC3"/>
    <w:rPr>
      <w:sz w:val="18"/>
      <w:szCs w:val="18"/>
    </w:rPr>
  </w:style>
  <w:style w:type="paragraph" w:styleId="Header">
    <w:name w:val="header"/>
    <w:basedOn w:val="Normal"/>
    <w:link w:val="HeaderChar"/>
    <w:uiPriority w:val="99"/>
    <w:semiHidden/>
    <w:rsid w:val="00397F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97FC3"/>
    <w:rPr>
      <w:sz w:val="18"/>
      <w:szCs w:val="18"/>
    </w:rPr>
  </w:style>
  <w:style w:type="paragraph" w:styleId="NormalWeb">
    <w:name w:val="Normal (Web)"/>
    <w:basedOn w:val="Normal"/>
    <w:uiPriority w:val="99"/>
    <w:rsid w:val="00397FC3"/>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397FC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Pages>
  <Words>62</Words>
  <Characters>356</Characters>
  <Application>Microsoft Office Outlook</Application>
  <DocSecurity>0</DocSecurity>
  <Lines>0</Lines>
  <Paragraphs>0</Paragraphs>
  <ScaleCrop>false</ScaleCrop>
  <Company>Www.SangSan.Cn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lenovo</cp:lastModifiedBy>
  <cp:revision>40</cp:revision>
  <cp:lastPrinted>2023-11-29T01:38:00Z</cp:lastPrinted>
  <dcterms:created xsi:type="dcterms:W3CDTF">2023-10-29T22:20:00Z</dcterms:created>
  <dcterms:modified xsi:type="dcterms:W3CDTF">2023-12-04T06:38:00Z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