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68" w:beforeLines="150"/>
        <w:jc w:val="center"/>
        <w:rPr>
          <w:rFonts w:ascii="黑体" w:hAnsi="宋体" w:eastAsia="黑体"/>
          <w:b/>
          <w:color w:val="FF0000"/>
          <w:w w:val="80"/>
          <w:kern w:val="0"/>
          <w:sz w:val="116"/>
          <w:szCs w:val="116"/>
        </w:rPr>
      </w:pPr>
      <w:r>
        <w:rPr>
          <w:rFonts w:ascii="黑体" w:hAnsi="宋体" w:eastAsia="黑体"/>
          <w:b/>
          <w:color w:val="FF0000"/>
          <w:w w:val="80"/>
          <w:kern w:val="0"/>
          <w:sz w:val="116"/>
          <w:szCs w:val="116"/>
        </w:rPr>
        <w:pict>
          <v:shape id="_x0000_i1025" o:spt="136" type="#_x0000_t136" style="height:49pt;width:386pt;" fillcolor="#FF0000" filled="t" stroked="f" coordsize="21600,21600">
            <v:path/>
            <v:fill on="t" focussize="0,0"/>
            <v:stroke on="f"/>
            <v:imagedata o:title=""/>
            <o:lock v:ext="edit"/>
            <v:textpath on="t" fitshape="t" fitpath="t" trim="t" xscale="f" string="吉林工程职业学院文件" style="font-family:华文中宋;font-size:60pt;font-weight:bold;v-text-align:center;"/>
            <w10:wrap type="none"/>
            <w10:anchorlock/>
          </v:shape>
        </w:pict>
      </w:r>
    </w:p>
    <w:p>
      <w:pPr>
        <w:snapToGrid w:val="0"/>
        <w:jc w:val="both"/>
        <w:rPr>
          <w:rFonts w:ascii="仿宋_GB2312" w:hAnsi="宋体" w:eastAsia="仿宋_GB2312"/>
          <w:sz w:val="32"/>
        </w:rPr>
      </w:pPr>
    </w:p>
    <w:p>
      <w:pPr>
        <w:snapToGrid w:val="0"/>
        <w:jc w:val="center"/>
        <w:rPr>
          <w:rFonts w:ascii="宋体-方正超大字符集" w:hAnsi="新宋体" w:eastAsia="宋体-方正超大字符集"/>
          <w:b/>
          <w:color w:val="FF0000"/>
          <w:w w:val="80"/>
          <w:szCs w:val="21"/>
        </w:rPr>
      </w:pPr>
      <w:r>
        <w:rPr>
          <w:rFonts w:hint="eastAsia" w:ascii="仿宋_GB2312" w:hAnsi="宋体" w:eastAsia="仿宋_GB2312"/>
          <w:sz w:val="32"/>
        </w:rPr>
        <w:t>吉工程职院</w:t>
      </w:r>
      <w:r>
        <w:rPr>
          <w:rFonts w:hint="eastAsia" w:ascii="仿宋" w:hAnsi="仿宋" w:eastAsia="仿宋"/>
          <w:sz w:val="32"/>
        </w:rPr>
        <w:t>〔20</w:t>
      </w:r>
      <w:r>
        <w:rPr>
          <w:rFonts w:ascii="仿宋" w:hAnsi="仿宋" w:eastAsia="仿宋"/>
          <w:sz w:val="32"/>
        </w:rPr>
        <w:t>2</w:t>
      </w:r>
      <w:r>
        <w:rPr>
          <w:rFonts w:hint="eastAsia" w:ascii="仿宋" w:hAnsi="仿宋" w:eastAsia="仿宋"/>
          <w:sz w:val="32"/>
          <w:lang w:val="en-US" w:eastAsia="zh-CN"/>
        </w:rPr>
        <w:t>2</w:t>
      </w:r>
      <w:r>
        <w:rPr>
          <w:rFonts w:hint="eastAsia" w:ascii="仿宋" w:hAnsi="仿宋" w:eastAsia="仿宋"/>
          <w:sz w:val="32"/>
        </w:rPr>
        <w:t>〕</w:t>
      </w:r>
      <w:r>
        <w:rPr>
          <w:rFonts w:ascii="仿宋" w:hAnsi="仿宋" w:eastAsia="仿宋"/>
          <w:sz w:val="32"/>
        </w:rPr>
        <w:t>3</w:t>
      </w:r>
      <w:r>
        <w:rPr>
          <w:rFonts w:hint="eastAsia" w:ascii="仿宋" w:hAnsi="仿宋" w:eastAsia="仿宋"/>
          <w:sz w:val="32"/>
          <w:lang w:val="en-US" w:eastAsia="zh-CN"/>
        </w:rPr>
        <w:t>2</w:t>
      </w:r>
      <w:r>
        <w:rPr>
          <w:rFonts w:hint="eastAsia" w:ascii="仿宋_GB2312" w:hAnsi="宋体" w:eastAsia="仿宋_GB2312"/>
          <w:sz w:val="32"/>
        </w:rPr>
        <w:t xml:space="preserve">号 </w:t>
      </w:r>
      <w:r>
        <w:rPr>
          <w:rFonts w:hint="eastAsia" w:ascii="仿宋_GB2312" w:hAnsi="宋体" w:eastAsia="仿宋_GB2312"/>
          <w:sz w:val="32"/>
          <w:lang w:val="en-US" w:eastAsia="zh-CN"/>
        </w:rPr>
        <w:t xml:space="preserve">    </w:t>
      </w:r>
    </w:p>
    <w:p>
      <w:pPr>
        <w:snapToGrid w:val="0"/>
        <w:jc w:val="center"/>
        <w:rPr>
          <w:b/>
          <w:szCs w:val="21"/>
        </w:rPr>
      </w:pPr>
      <w:r>
        <w:rPr>
          <w:rFonts w:hint="eastAsia" w:ascii="宋体-方正超大字符集" w:hAnsi="新宋体" w:eastAsia="宋体-方正超大字符集"/>
          <w:b/>
          <w:color w:val="FF0000"/>
          <w:sz w:val="36"/>
          <w:szCs w:val="36"/>
        </w:rPr>
        <w:t>——————————————————————</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b/>
          <w:bCs/>
          <w:sz w:val="44"/>
          <w:szCs w:val="44"/>
        </w:rPr>
      </w:pPr>
      <w:r>
        <w:rPr>
          <w:rFonts w:hint="eastAsia"/>
          <w:b/>
          <w:bCs/>
          <w:sz w:val="44"/>
          <w:szCs w:val="44"/>
        </w:rPr>
        <w:t>关于印发《</w:t>
      </w:r>
      <w:r>
        <w:rPr>
          <w:rFonts w:hint="eastAsia" w:ascii="宋体" w:hAnsi="宋体" w:eastAsia="宋体" w:cs="宋体"/>
          <w:b/>
          <w:sz w:val="44"/>
          <w:szCs w:val="44"/>
        </w:rPr>
        <w:t>吉林工程职业学院债务管理办法(修订)</w:t>
      </w:r>
      <w:r>
        <w:rPr>
          <w:rFonts w:hint="eastAsia"/>
          <w:b/>
          <w:bCs/>
          <w:sz w:val="44"/>
          <w:szCs w:val="44"/>
        </w:rPr>
        <w:t>》的通知</w:t>
      </w:r>
    </w:p>
    <w:p>
      <w:pPr>
        <w:ind w:left="1929" w:leftChars="753" w:hanging="348" w:hangingChars="109"/>
        <w:jc w:val="left"/>
        <w:rPr>
          <w:rFonts w:ascii="仿宋" w:hAnsi="仿宋" w:eastAsia="仿宋"/>
          <w:sz w:val="32"/>
          <w:szCs w:val="32"/>
        </w:rPr>
      </w:pPr>
    </w:p>
    <w:p>
      <w:pPr>
        <w:spacing w:line="500" w:lineRule="exact"/>
        <w:jc w:val="left"/>
        <w:rPr>
          <w:rFonts w:ascii="仿宋" w:hAnsi="仿宋" w:eastAsia="仿宋"/>
          <w:sz w:val="32"/>
          <w:szCs w:val="32"/>
        </w:rPr>
      </w:pPr>
      <w:r>
        <w:rPr>
          <w:rFonts w:hint="eastAsia" w:ascii="仿宋" w:hAnsi="仿宋" w:eastAsia="仿宋"/>
          <w:sz w:val="32"/>
          <w:szCs w:val="32"/>
        </w:rPr>
        <w:t>各单位、部门：</w:t>
      </w:r>
    </w:p>
    <w:p>
      <w:pPr>
        <w:ind w:firstLine="640" w:firstLineChars="200"/>
        <w:rPr>
          <w:rFonts w:ascii="仿宋_GB2312" w:eastAsia="仿宋_GB2312"/>
          <w:bCs/>
          <w:sz w:val="32"/>
          <w:szCs w:val="32"/>
        </w:rPr>
      </w:pPr>
      <w:r>
        <w:rPr>
          <w:rFonts w:hint="eastAsia" w:ascii="仿宋" w:hAnsi="仿宋" w:eastAsia="仿宋"/>
          <w:sz w:val="32"/>
          <w:szCs w:val="32"/>
        </w:rPr>
        <w:t>《</w:t>
      </w:r>
      <w:r>
        <w:rPr>
          <w:rFonts w:hint="eastAsia" w:ascii="仿宋" w:hAnsi="仿宋" w:eastAsia="仿宋"/>
          <w:bCs/>
          <w:sz w:val="32"/>
          <w:szCs w:val="32"/>
        </w:rPr>
        <w:t>吉林工程职业学院债务管理办法(修订)</w:t>
      </w:r>
      <w:r>
        <w:rPr>
          <w:rFonts w:hint="eastAsia" w:ascii="仿宋" w:hAnsi="仿宋" w:eastAsia="仿宋"/>
          <w:sz w:val="32"/>
          <w:szCs w:val="32"/>
        </w:rPr>
        <w:t>》经学校</w:t>
      </w:r>
      <w:r>
        <w:rPr>
          <w:rFonts w:hint="eastAsia" w:ascii="仿宋" w:hAnsi="仿宋" w:eastAsia="仿宋"/>
          <w:sz w:val="32"/>
          <w:szCs w:val="32"/>
          <w:lang w:eastAsia="zh-CN"/>
        </w:rPr>
        <w:t>研究</w:t>
      </w:r>
      <w:r>
        <w:rPr>
          <w:rFonts w:hint="eastAsia" w:ascii="仿宋" w:hAnsi="仿宋" w:eastAsia="仿宋"/>
          <w:sz w:val="32"/>
          <w:szCs w:val="32"/>
        </w:rPr>
        <w:t>通过，现印发给你们，请认真贯彻执行。</w:t>
      </w:r>
    </w:p>
    <w:p>
      <w:pPr>
        <w:ind w:firstLine="640" w:firstLineChars="200"/>
        <w:rPr>
          <w:rFonts w:ascii="仿宋" w:hAnsi="仿宋" w:eastAsia="仿宋"/>
          <w:sz w:val="32"/>
          <w:szCs w:val="32"/>
        </w:rPr>
      </w:pPr>
      <w:r>
        <w:rPr>
          <w:rFonts w:hint="eastAsia" w:ascii="仿宋" w:hAnsi="仿宋" w:eastAsia="仿宋"/>
          <w:sz w:val="32"/>
          <w:szCs w:val="32"/>
        </w:rPr>
        <w:t>特此通知。</w:t>
      </w:r>
    </w:p>
    <w:p>
      <w:pPr>
        <w:spacing w:line="500" w:lineRule="exact"/>
        <w:ind w:firstLine="640" w:firstLineChars="200"/>
        <w:rPr>
          <w:rFonts w:ascii="仿宋" w:hAnsi="仿宋" w:eastAsia="仿宋"/>
          <w:sz w:val="32"/>
          <w:szCs w:val="32"/>
        </w:rPr>
      </w:pPr>
    </w:p>
    <w:p>
      <w:pPr>
        <w:spacing w:line="500" w:lineRule="exact"/>
        <w:ind w:left="1650" w:leftChars="303" w:hanging="1014" w:hangingChars="317"/>
        <w:jc w:val="left"/>
        <w:rPr>
          <w:rFonts w:ascii="仿宋_GB2312" w:eastAsia="仿宋_GB2312"/>
          <w:bCs/>
          <w:sz w:val="32"/>
          <w:szCs w:val="32"/>
        </w:rPr>
      </w:pPr>
      <w:r>
        <w:rPr>
          <w:rFonts w:hint="eastAsia" w:ascii="仿宋" w:hAnsi="仿宋" w:eastAsia="仿宋"/>
          <w:sz w:val="32"/>
          <w:szCs w:val="32"/>
        </w:rPr>
        <w:t>附件：</w:t>
      </w:r>
      <w:r>
        <w:rPr>
          <w:rFonts w:hint="eastAsia" w:ascii="仿宋_GB2312" w:eastAsia="仿宋_GB2312"/>
          <w:bCs/>
          <w:sz w:val="32"/>
          <w:szCs w:val="32"/>
        </w:rPr>
        <w:t>吉林工程职业学院债务管理办法(修订)</w:t>
      </w:r>
    </w:p>
    <w:p>
      <w:pPr>
        <w:spacing w:line="500" w:lineRule="exact"/>
        <w:ind w:left="1650" w:leftChars="303" w:hanging="1014" w:hangingChars="317"/>
        <w:jc w:val="left"/>
        <w:rPr>
          <w:rFonts w:ascii="仿宋_GB2312" w:eastAsia="仿宋_GB2312"/>
          <w:bCs/>
          <w:sz w:val="32"/>
          <w:szCs w:val="32"/>
        </w:rPr>
      </w:pPr>
    </w:p>
    <w:p>
      <w:pPr>
        <w:spacing w:line="500" w:lineRule="exact"/>
        <w:ind w:left="1650" w:leftChars="303" w:hanging="1014" w:hangingChars="317"/>
        <w:jc w:val="left"/>
        <w:rPr>
          <w:rFonts w:ascii="仿宋_GB2312" w:eastAsia="仿宋_GB2312"/>
          <w:bCs/>
          <w:sz w:val="32"/>
          <w:szCs w:val="32"/>
        </w:rPr>
      </w:pPr>
    </w:p>
    <w:p>
      <w:pPr>
        <w:spacing w:line="500" w:lineRule="exact"/>
        <w:ind w:left="1650" w:leftChars="303" w:hanging="1014" w:hangingChars="317"/>
        <w:jc w:val="left"/>
        <w:rPr>
          <w:rFonts w:ascii="仿宋_GB2312" w:eastAsia="仿宋_GB2312"/>
          <w:bCs/>
          <w:sz w:val="32"/>
          <w:szCs w:val="32"/>
        </w:rPr>
      </w:pPr>
    </w:p>
    <w:p>
      <w:pPr>
        <w:spacing w:line="500" w:lineRule="exact"/>
        <w:ind w:left="2940" w:leftChars="1400"/>
        <w:jc w:val="center"/>
        <w:rPr>
          <w:rFonts w:ascii="仿宋" w:hAnsi="仿宋" w:eastAsia="仿宋"/>
          <w:bCs/>
          <w:sz w:val="32"/>
          <w:szCs w:val="32"/>
        </w:rPr>
      </w:pPr>
      <w:r>
        <w:rPr>
          <w:rFonts w:hint="eastAsia" w:ascii="仿宋" w:hAnsi="仿宋" w:eastAsia="仿宋"/>
          <w:sz w:val="32"/>
          <w:szCs w:val="32"/>
        </w:rPr>
        <w:t>吉林工程职业学院</w:t>
      </w:r>
    </w:p>
    <w:p>
      <w:pPr>
        <w:spacing w:line="500" w:lineRule="exact"/>
        <w:ind w:left="2940" w:leftChars="1400"/>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p>
    <w:p>
      <w:pPr>
        <w:ind w:left="2940" w:leftChars="1400"/>
        <w:jc w:val="center"/>
        <w:rPr>
          <w:rFonts w:ascii="仿宋" w:hAnsi="仿宋" w:eastAsia="仿宋"/>
          <w:sz w:val="32"/>
          <w:szCs w:val="32"/>
        </w:rPr>
      </w:pPr>
    </w:p>
    <w:p>
      <w:pPr>
        <w:ind w:left="2940" w:leftChars="1400"/>
        <w:jc w:val="center"/>
        <w:rPr>
          <w:rFonts w:ascii="仿宋" w:hAnsi="仿宋" w:eastAsia="仿宋"/>
          <w:sz w:val="32"/>
          <w:szCs w:val="32"/>
        </w:rPr>
      </w:pPr>
    </w:p>
    <w:p>
      <w:pPr>
        <w:ind w:left="2940" w:leftChars="1400"/>
        <w:jc w:val="center"/>
        <w:rPr>
          <w:rFonts w:ascii="仿宋" w:hAnsi="仿宋" w:eastAsia="仿宋"/>
          <w:sz w:val="32"/>
          <w:szCs w:val="32"/>
        </w:rPr>
      </w:pPr>
    </w:p>
    <w:tbl>
      <w:tblPr>
        <w:tblStyle w:val="7"/>
        <w:tblpPr w:leftFromText="180" w:rightFromText="180" w:vertAnchor="text" w:horzAnchor="page" w:tblpX="1783" w:tblpY="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8425" w:type="dxa"/>
            <w:tcBorders>
              <w:top w:val="single" w:color="auto" w:sz="4" w:space="0"/>
              <w:bottom w:val="single" w:color="auto" w:sz="4" w:space="0"/>
            </w:tcBorders>
          </w:tcPr>
          <w:p>
            <w:pPr>
              <w:spacing w:line="480" w:lineRule="atLeast"/>
              <w:ind w:firstLine="160" w:firstLineChars="50"/>
              <w:rPr>
                <w:rFonts w:ascii="仿宋" w:hAnsi="仿宋" w:eastAsia="仿宋"/>
                <w:sz w:val="32"/>
                <w:szCs w:val="32"/>
              </w:rPr>
            </w:pPr>
            <w:r>
              <w:rPr>
                <w:rFonts w:hint="eastAsia" w:ascii="仿宋" w:hAnsi="仿宋" w:eastAsia="仿宋"/>
                <w:sz w:val="32"/>
                <w:szCs w:val="32"/>
              </w:rPr>
              <w:t>吉林</w:t>
            </w:r>
            <w:r>
              <w:rPr>
                <w:rFonts w:hint="eastAsia" w:ascii="仿宋" w:hAnsi="仿宋" w:eastAsia="仿宋"/>
                <w:w w:val="97"/>
                <w:sz w:val="32"/>
                <w:szCs w:val="32"/>
              </w:rPr>
              <w:t>工程职业学院党政办公室</w:t>
            </w:r>
            <w:r>
              <w:rPr>
                <w:rFonts w:hint="eastAsia" w:ascii="仿宋" w:hAnsi="仿宋" w:eastAsia="仿宋"/>
                <w:w w:val="97"/>
                <w:sz w:val="32"/>
              </w:rPr>
              <w:t xml:space="preserve">      20</w:t>
            </w:r>
            <w:r>
              <w:rPr>
                <w:rFonts w:ascii="仿宋" w:hAnsi="仿宋" w:eastAsia="仿宋"/>
                <w:w w:val="97"/>
                <w:sz w:val="32"/>
              </w:rPr>
              <w:t>2</w:t>
            </w:r>
            <w:r>
              <w:rPr>
                <w:rFonts w:hint="eastAsia" w:ascii="仿宋" w:hAnsi="仿宋" w:eastAsia="仿宋"/>
                <w:w w:val="97"/>
                <w:sz w:val="32"/>
                <w:lang w:val="en-US" w:eastAsia="zh-CN"/>
              </w:rPr>
              <w:t>2</w:t>
            </w:r>
            <w:r>
              <w:rPr>
                <w:rFonts w:hint="eastAsia" w:ascii="仿宋" w:hAnsi="仿宋" w:eastAsia="仿宋"/>
                <w:w w:val="97"/>
                <w:sz w:val="32"/>
              </w:rPr>
              <w:t>年</w:t>
            </w:r>
            <w:r>
              <w:rPr>
                <w:rFonts w:hint="eastAsia" w:ascii="仿宋" w:hAnsi="仿宋" w:eastAsia="仿宋"/>
                <w:w w:val="97"/>
                <w:sz w:val="32"/>
                <w:lang w:val="en-US" w:eastAsia="zh-CN"/>
              </w:rPr>
              <w:t>6</w:t>
            </w:r>
            <w:r>
              <w:rPr>
                <w:rFonts w:hint="eastAsia" w:ascii="仿宋" w:hAnsi="仿宋" w:eastAsia="仿宋"/>
                <w:w w:val="97"/>
                <w:sz w:val="32"/>
              </w:rPr>
              <w:t>月</w:t>
            </w:r>
            <w:r>
              <w:rPr>
                <w:rFonts w:hint="eastAsia" w:ascii="仿宋" w:hAnsi="仿宋" w:eastAsia="仿宋"/>
                <w:w w:val="97"/>
                <w:sz w:val="32"/>
                <w:lang w:val="en-US" w:eastAsia="zh-CN"/>
              </w:rPr>
              <w:t>14</w:t>
            </w:r>
            <w:r>
              <w:rPr>
                <w:rFonts w:hint="eastAsia" w:ascii="仿宋" w:hAnsi="仿宋" w:eastAsia="仿宋"/>
                <w:w w:val="97"/>
                <w:sz w:val="32"/>
              </w:rPr>
              <w:t>日印发</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bookmarkStart w:id="0" w:name="_GoBack"/>
      <w:bookmarkEnd w:id="0"/>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eastAsia="宋体"/>
          <w:sz w:val="28"/>
          <w:lang w:eastAsia="zh-CN"/>
        </w:rPr>
      </w:pPr>
      <w:r>
        <w:rPr>
          <w:rFonts w:hint="eastAsia" w:ascii="宋体" w:hAnsi="宋体" w:eastAsia="宋体" w:cs="宋体"/>
          <w:b/>
          <w:sz w:val="44"/>
          <w:szCs w:val="44"/>
        </w:rPr>
        <w:t>吉林工程职业学院债务管理办法(修订)</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为进一步加强学校债务监督管理，规范债务举借、使用和偿还行为，防范债务风险，提高资金使用效益，根据《国务院关于加强地方政府性债务管理的意见》（国发〔2014〕43号）</w:t>
      </w:r>
      <w:r>
        <w:rPr>
          <w:rFonts w:hint="eastAsia" w:ascii="仿宋" w:hAnsi="仿宋" w:eastAsia="仿宋" w:cs="仿宋"/>
          <w:sz w:val="32"/>
          <w:szCs w:val="32"/>
          <w:lang w:eastAsia="zh-CN"/>
        </w:rPr>
        <w:t>、</w:t>
      </w:r>
      <w:r>
        <w:rPr>
          <w:rFonts w:hint="eastAsia" w:ascii="仿宋" w:hAnsi="仿宋" w:eastAsia="仿宋" w:cs="仿宋"/>
          <w:sz w:val="32"/>
          <w:szCs w:val="32"/>
        </w:rPr>
        <w:t>财政部《政府会计制度》（财会〔2017〕25号）等法律法规和规章制度，结合我校实际，制定本办法。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第二条 学校的债务是指学校所承担的能以货币计量、需要以资产或劳务偿还的借入款项、应缴款项、代管款项、各类应付及预收款项等。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第三条 计划财务处是学校债务核算与管理的职能部门，负责对债务进行审核、核算，并加强对债务的管理。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第四条 债务经办部门对债务的清理负有直接责任，对已发生的债务，要落实责任人员，定期进行清理。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债务管理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第五条 举借债务应当遵循适度从紧、量力而行、注重效益、明确责任、防范风险的原则。学校债务的规模应当统筹考虑学校发展的需要，与我校财务状况和承受能力相适应。</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第六条 借入款项，是指学校向金融机构等借入的各项债务。举借债务须经学校党委会研究决定，并报上级部门批准后方能执行。同时应根据学校财力、未来预算收入和贷款合同，制定学校的还本付息计划，保证学校的资金正常运转，并定期对计划执行情况进行分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第七条 应缴款项，包括学校收取的应当上缴财政纳入预算的资金、代扣代缴税金及其他按照国家规定应当上缴的款项。学校应积极组织收入，及时足额办理上缴手续。</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第八条 代管款项，是指学校接受委托代为管理的各类款项。包括：党费、团费、学会（协会）会费等。</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代管款项严格实行以收定支，不透支使用。代管款项年终结余款结转第二年继续使用。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第九条 各类应付及预收款项，包括应付职工薪酬、应付票据、应付账款、预收账款和其他应付款、暂存款等款项。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学校每年对各类应付及预收款项进行清理，按照规定应当转作收入的应及时转入有关账户，纳入当年决算。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第十条 学校不得采取任何方式向教职工集资、借款、委托贷款，以及与非金融机构发生借贷业务。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严禁开展售后回租业务，禁止学校开展各种形式的售后回租业务，避免国有资产流失。确需开展融资性租赁的要经校党委会研究决定，并报主管部门和财政部门审批。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严格控制新增贷款，学校谨慎采用银行贷款方式筹集教育经费，学校要切实根据发展需要和自身经济实力，分清轻重缓急，合理确定建设项目和安排建设进度，且要经校党委会研究决定。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校园土地、校舍等如已满足办学要求，不得新增债务用于新征土地和新上建设项目。办学条件如有待提高，学校新上项目确需要银行贷款的，要对建设规模、筹资渠道和偿债来源等作充分论证，落实明确、稳定的偿债来源，并报省教育厅</w:t>
      </w:r>
      <w:r>
        <w:rPr>
          <w:rFonts w:hint="eastAsia" w:ascii="仿宋" w:hAnsi="仿宋" w:eastAsia="仿宋" w:cs="仿宋"/>
          <w:sz w:val="32"/>
          <w:szCs w:val="32"/>
          <w:lang w:eastAsia="zh-CN"/>
        </w:rPr>
        <w:t>、省财政厅</w:t>
      </w:r>
      <w:r>
        <w:rPr>
          <w:rFonts w:hint="eastAsia" w:ascii="仿宋" w:hAnsi="仿宋" w:eastAsia="仿宋" w:cs="仿宋"/>
          <w:sz w:val="32"/>
          <w:szCs w:val="32"/>
        </w:rPr>
        <w:t>审批同意后，方可与合作银行签订贷款合同。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学校举借资金应用于学校事业发展有重大影响的基建项目，不得因对外投资、平衡预算、抵补日常经费开支不足以及提高或变相提高人员待遇而借债。高校不得为任何单位（含校办产业）或个人的经济活动提供担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债务的预警和监督管理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建立债务风险监测和预警指标体系。根据省财政厅《2014年地方政府性债务风险预警测算说明》文件，我校采用一般债务率指标衡量我校债务风险，该指标为吉林省政府性债务重要指标，目前我省设定风险预警线区间为60%-120%，我校债务可参考此指标。具体计算公示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m:oMathPara>
        <m:oMath>
          <m:r>
            <m:rPr>
              <m:sty m:val="p"/>
            </m:rPr>
            <w:rPr>
              <w:rFonts w:ascii="Cambria Math" w:hAnsi="Cambria Math" w:cs="Cambria Math"/>
              <w:sz w:val="20"/>
            </w:rPr>
            <m:t>一般债务率预警线</m:t>
          </m:r>
          <m:r>
            <m:rPr>
              <m:sty m:val="p"/>
            </m:rPr>
            <w:rPr>
              <w:rFonts w:ascii="Cambria Math" w:hAnsi="Cambria Math" w:eastAsia="Cambria Math" w:cs="Cambria Math"/>
              <w:sz w:val="20"/>
            </w:rPr>
            <m:t>=</m:t>
          </m:r>
          <m:f>
            <m:fPr>
              <m:ctrlPr>
                <w:rPr>
                  <w:rFonts w:ascii="Cambria Math" w:hAnsi="Cambria Math" w:eastAsia="Cambria Math"/>
                  <w:sz w:val="20"/>
                </w:rPr>
              </m:ctrlPr>
            </m:fPr>
            <m:num>
              <m:r>
                <m:rPr>
                  <m:sty m:val="p"/>
                </m:rPr>
                <w:rPr>
                  <w:rFonts w:ascii="Cambria Math" w:hAnsi="Cambria Math"/>
                  <w:sz w:val="20"/>
                </w:rPr>
                <m:t>可用于偿还一般债务的预算财力</m:t>
              </m:r>
            </m:num>
            <m:den>
              <m:r>
                <m:rPr>
                  <m:sty m:val="p"/>
                </m:rPr>
                <w:rPr>
                  <w:rFonts w:ascii="Cambria Math" w:hAnsi="Cambria Math" w:cs="Cambria Math"/>
                  <w:sz w:val="20"/>
                </w:rPr>
                <m:t>预算财力</m:t>
              </m:r>
            </m:den>
          </m:f>
          <m:r>
            <w:rPr>
              <w:rFonts w:ascii="Cambria Math" w:hAnsi="Cambria Math" w:eastAsia="Cambria Math"/>
              <w:sz w:val="20"/>
            </w:rPr>
            <m:t>×</m:t>
          </m:r>
          <m:r>
            <m:rPr>
              <m:sty m:val="p"/>
            </m:rPr>
            <w:rPr>
              <w:rFonts w:ascii="Cambria Math" w:hAnsi="Cambria Math"/>
              <w:sz w:val="20"/>
            </w:rPr>
            <m:t>平均债务期限</m:t>
          </m:r>
        </m:oMath>
      </m:oMathPara>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其中“可用于偿还债务的预算财力”等于我校预算财力扣除不能偿债的刚性支出（包括中央政策要求的保工资、保运转和保民生等支出，地方性出台民生政策等刚性支出），以及主要是一次性收入的非税收入后剩余的部分；“预算财力”等于我校收取的学费、住宿费等财政性收入；“平均债务期限”为我校当年年底债务数据加权平均核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债务率预警线低于100%，原则上不再新增贷款和自筹基本建设项目。以偿债优先，待债务有所缓解再行举借债务。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根据省教育厅对高校债务管理的指导意见，同时将以下两项指标作为债务风险监测预警提醒纳入测算指标体系：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1.贷款风险率：学校现有贷款规模/最近连续两个年度学校事业收入之和。当贷款风险率≧1时，原则上不能新增贷款额度。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2.资产负债率：上一年度学校贷款规模/上一年度学校资产规模。当资产负债率≧0.25时，原则上不能新增贷款额度。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七</w:t>
      </w:r>
      <w:r>
        <w:rPr>
          <w:rFonts w:hint="eastAsia" w:ascii="仿宋" w:hAnsi="仿宋" w:eastAsia="仿宋" w:cs="仿宋"/>
          <w:sz w:val="32"/>
          <w:szCs w:val="32"/>
        </w:rPr>
        <w:t xml:space="preserve">条 </w:t>
      </w:r>
      <w:r>
        <w:rPr>
          <w:rFonts w:hint="eastAsia" w:ascii="仿宋" w:hAnsi="仿宋" w:eastAsia="仿宋" w:cs="仿宋"/>
          <w:spacing w:val="9"/>
          <w:sz w:val="32"/>
          <w:szCs w:val="32"/>
        </w:rPr>
        <w:t>加强债务清偿管理。</w:t>
      </w:r>
      <w:r>
        <w:rPr>
          <w:rFonts w:hint="eastAsia" w:ascii="仿宋" w:hAnsi="仿宋" w:eastAsia="仿宋" w:cs="仿宋"/>
          <w:spacing w:val="10"/>
          <w:sz w:val="32"/>
          <w:szCs w:val="32"/>
        </w:rPr>
        <w:t>切实加大债务清偿力度，</w:t>
      </w:r>
      <w:r>
        <w:rPr>
          <w:rFonts w:hint="eastAsia" w:ascii="仿宋" w:hAnsi="仿宋" w:eastAsia="仿宋" w:cs="仿宋"/>
          <w:spacing w:val="6"/>
          <w:sz w:val="32"/>
          <w:szCs w:val="32"/>
        </w:rPr>
        <w:t>努力增收节支，按授信额度、贷款金额和贷款期限，逐年按计划还本付息，每年按计划在校生数学费和住宿费收入的一定比例提取资金用于还本付息，确保在贷款期限结束时消除债务。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八</w:t>
      </w:r>
      <w:r>
        <w:rPr>
          <w:rFonts w:hint="eastAsia" w:ascii="仿宋" w:hAnsi="仿宋" w:eastAsia="仿宋" w:cs="仿宋"/>
          <w:sz w:val="32"/>
          <w:szCs w:val="32"/>
        </w:rPr>
        <w:t>条 加强财务监督管理。充分发挥审计、监察等部门的监督作用，会同财务部门全面掌握负债建设项目贷款及配套资金的使用情况，对建设项目实行过程控制，严防项目举债突破计划规模。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九</w:t>
      </w:r>
      <w:r>
        <w:rPr>
          <w:rFonts w:hint="eastAsia" w:ascii="仿宋" w:hAnsi="仿宋" w:eastAsia="仿宋" w:cs="仿宋"/>
          <w:sz w:val="32"/>
          <w:szCs w:val="32"/>
        </w:rPr>
        <w:t>条 本办法自发布之日起施行。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w:t>
      </w:r>
      <w:r>
        <w:rPr>
          <w:rFonts w:hint="eastAsia" w:ascii="仿宋" w:hAnsi="仿宋" w:eastAsia="仿宋" w:cs="仿宋"/>
          <w:sz w:val="32"/>
          <w:szCs w:val="32"/>
        </w:rPr>
        <w:t>条 本办法由计划财务处负责解释，未尽事宜按上级相关文件执行。</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ascii="黑体" w:hAnsi="黑体" w:eastAsia="黑体"/>
          <w:sz w:val="32"/>
          <w:szCs w:val="32"/>
        </w:rPr>
      </w:pPr>
    </w:p>
    <w:p>
      <w:pPr>
        <w:pStyle w:val="16"/>
        <w:keepNext w:val="0"/>
        <w:keepLines w:val="0"/>
        <w:pageBreakBefore w:val="0"/>
        <w:widowControl w:val="0"/>
        <w:tabs>
          <w:tab w:val="left" w:pos="2552"/>
        </w:tabs>
        <w:kinsoku/>
        <w:wordWrap/>
        <w:overflowPunct w:val="0"/>
        <w:topLinePunct w:val="0"/>
        <w:autoSpaceDE/>
        <w:autoSpaceDN/>
        <w:bidi w:val="0"/>
        <w:adjustRightInd/>
        <w:snapToGrid/>
        <w:spacing w:after="280" w:line="560" w:lineRule="exact"/>
        <w:ind w:left="0" w:leftChars="0" w:firstLine="0" w:firstLineChars="0"/>
        <w:jc w:val="both"/>
        <w:textAlignment w:val="auto"/>
        <w:rPr>
          <w:rFonts w:ascii="黑体" w:hAnsi="黑体" w:eastAsia="黑体"/>
          <w:sz w:val="32"/>
          <w:szCs w:val="32"/>
        </w:rPr>
      </w:pPr>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251009"/>
      <w:docPartObj>
        <w:docPartGallery w:val="autotext"/>
      </w:docPartObj>
    </w:sdtPr>
    <w:sdtEndPr>
      <w:rPr>
        <w:sz w:val="28"/>
        <w:szCs w:val="28"/>
      </w:rPr>
    </w:sdtEndPr>
    <w:sdtContent>
      <w:p>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sdtContent>
  </w:sdt>
  <w:p>
    <w:pPr>
      <w:pStyle w:val="4"/>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C71CA"/>
    <w:multiLevelType w:val="singleLevel"/>
    <w:tmpl w:val="BD3C71CA"/>
    <w:lvl w:ilvl="0" w:tentative="0">
      <w:start w:val="1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2D"/>
    <w:rsid w:val="00075F25"/>
    <w:rsid w:val="00324E30"/>
    <w:rsid w:val="003A25E7"/>
    <w:rsid w:val="004C3A08"/>
    <w:rsid w:val="004F38C9"/>
    <w:rsid w:val="005300D3"/>
    <w:rsid w:val="006623EC"/>
    <w:rsid w:val="00676522"/>
    <w:rsid w:val="006E062D"/>
    <w:rsid w:val="006F3239"/>
    <w:rsid w:val="006F4A76"/>
    <w:rsid w:val="0071219C"/>
    <w:rsid w:val="00766BEB"/>
    <w:rsid w:val="007A4AD6"/>
    <w:rsid w:val="007C6281"/>
    <w:rsid w:val="00832344"/>
    <w:rsid w:val="00902D3A"/>
    <w:rsid w:val="00972011"/>
    <w:rsid w:val="00993F71"/>
    <w:rsid w:val="009F4FA0"/>
    <w:rsid w:val="00A032BC"/>
    <w:rsid w:val="00A36D61"/>
    <w:rsid w:val="00A443EB"/>
    <w:rsid w:val="00B252DE"/>
    <w:rsid w:val="00B64DEE"/>
    <w:rsid w:val="00BF2FB4"/>
    <w:rsid w:val="00C243E1"/>
    <w:rsid w:val="00C87B06"/>
    <w:rsid w:val="00CE7120"/>
    <w:rsid w:val="00D01B19"/>
    <w:rsid w:val="00DF062E"/>
    <w:rsid w:val="00E843B2"/>
    <w:rsid w:val="00EB4C72"/>
    <w:rsid w:val="00F06447"/>
    <w:rsid w:val="00FD5CFB"/>
    <w:rsid w:val="34504B9D"/>
    <w:rsid w:val="5C290D31"/>
    <w:rsid w:val="65B7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eastAsia="Times New Roman"/>
      <w:color w:val="000000"/>
      <w:kern w:val="0"/>
      <w:sz w:val="24"/>
    </w:rPr>
  </w:style>
  <w:style w:type="character" w:customStyle="1" w:styleId="9">
    <w:name w:val="页眉 字符"/>
    <w:basedOn w:val="8"/>
    <w:link w:val="5"/>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日期 字符"/>
    <w:basedOn w:val="8"/>
    <w:link w:val="2"/>
    <w:semiHidden/>
    <w:uiPriority w:val="99"/>
    <w:rPr>
      <w:rFonts w:ascii="Times New Roman" w:hAnsi="Times New Roman" w:eastAsia="宋体" w:cs="Times New Roman"/>
      <w:szCs w:val="24"/>
    </w:rPr>
  </w:style>
  <w:style w:type="character" w:customStyle="1" w:styleId="12">
    <w:name w:val="批注框文本 字符"/>
    <w:basedOn w:val="8"/>
    <w:link w:val="3"/>
    <w:semiHidden/>
    <w:uiPriority w:val="99"/>
    <w:rPr>
      <w:rFonts w:ascii="Times New Roman" w:hAnsi="Times New Roman" w:eastAsia="宋体" w:cs="Times New Roman"/>
      <w:sz w:val="18"/>
      <w:szCs w:val="18"/>
    </w:rPr>
  </w:style>
  <w:style w:type="character" w:customStyle="1" w:styleId="13">
    <w:name w:val="Header or footer|2_"/>
    <w:basedOn w:val="8"/>
    <w:link w:val="14"/>
    <w:qFormat/>
    <w:uiPriority w:val="0"/>
    <w:rPr>
      <w:sz w:val="20"/>
      <w:szCs w:val="20"/>
      <w:lang w:val="zh-TW" w:eastAsia="zh-TW" w:bidi="zh-TW"/>
    </w:rPr>
  </w:style>
  <w:style w:type="paragraph" w:customStyle="1" w:styleId="14">
    <w:name w:val="Header or footer|2"/>
    <w:basedOn w:val="1"/>
    <w:link w:val="13"/>
    <w:qFormat/>
    <w:uiPriority w:val="0"/>
    <w:pPr>
      <w:jc w:val="left"/>
    </w:pPr>
    <w:rPr>
      <w:rFonts w:asciiTheme="minorHAnsi" w:hAnsiTheme="minorHAnsi" w:eastAsiaTheme="minorEastAsia" w:cstheme="minorBidi"/>
      <w:sz w:val="20"/>
      <w:szCs w:val="20"/>
      <w:lang w:val="zh-TW" w:eastAsia="zh-TW" w:bidi="zh-TW"/>
    </w:rPr>
  </w:style>
  <w:style w:type="character" w:customStyle="1" w:styleId="15">
    <w:name w:val="Body text|1_"/>
    <w:basedOn w:val="8"/>
    <w:link w:val="16"/>
    <w:uiPriority w:val="0"/>
    <w:rPr>
      <w:rFonts w:ascii="宋体" w:hAnsi="宋体" w:eastAsia="宋体" w:cs="宋体"/>
      <w:sz w:val="30"/>
      <w:szCs w:val="30"/>
      <w:lang w:val="zh-TW" w:eastAsia="zh-TW" w:bidi="zh-TW"/>
    </w:rPr>
  </w:style>
  <w:style w:type="paragraph" w:customStyle="1" w:styleId="16">
    <w:name w:val="Body text|1"/>
    <w:basedOn w:val="1"/>
    <w:link w:val="15"/>
    <w:uiPriority w:val="0"/>
    <w:pPr>
      <w:spacing w:line="406" w:lineRule="auto"/>
      <w:ind w:firstLine="400"/>
      <w:jc w:val="left"/>
    </w:pPr>
    <w:rPr>
      <w:rFonts w:ascii="宋体" w:hAnsi="宋体" w:cs="宋体"/>
      <w:sz w:val="30"/>
      <w:szCs w:val="30"/>
      <w:lang w:val="zh-TW" w:eastAsia="zh-TW" w:bidi="zh-TW"/>
    </w:rPr>
  </w:style>
  <w:style w:type="character" w:customStyle="1" w:styleId="17">
    <w:name w:val="Heading #2|1_"/>
    <w:basedOn w:val="8"/>
    <w:link w:val="18"/>
    <w:qFormat/>
    <w:uiPriority w:val="0"/>
    <w:rPr>
      <w:rFonts w:ascii="宋体" w:hAnsi="宋体" w:eastAsia="宋体" w:cs="宋体"/>
      <w:sz w:val="42"/>
      <w:szCs w:val="42"/>
      <w:lang w:val="zh-TW" w:eastAsia="zh-TW" w:bidi="zh-TW"/>
    </w:rPr>
  </w:style>
  <w:style w:type="paragraph" w:customStyle="1" w:styleId="18">
    <w:name w:val="Heading #2|1"/>
    <w:basedOn w:val="1"/>
    <w:link w:val="17"/>
    <w:qFormat/>
    <w:uiPriority w:val="0"/>
    <w:pPr>
      <w:spacing w:after="200" w:line="288" w:lineRule="auto"/>
      <w:jc w:val="center"/>
      <w:outlineLvl w:val="1"/>
    </w:pPr>
    <w:rPr>
      <w:rFonts w:ascii="宋体" w:hAnsi="宋体" w:cs="宋体"/>
      <w:sz w:val="42"/>
      <w:szCs w:val="42"/>
      <w:lang w:val="zh-TW" w:eastAsia="zh-TW" w:bidi="zh-TW"/>
    </w:rPr>
  </w:style>
  <w:style w:type="character" w:customStyle="1" w:styleId="19">
    <w:name w:val="Heading #3|1_"/>
    <w:basedOn w:val="8"/>
    <w:link w:val="20"/>
    <w:qFormat/>
    <w:uiPriority w:val="0"/>
    <w:rPr>
      <w:rFonts w:ascii="宋体" w:hAnsi="宋体" w:eastAsia="宋体" w:cs="宋体"/>
      <w:b/>
      <w:bCs/>
      <w:sz w:val="30"/>
      <w:szCs w:val="30"/>
      <w:lang w:val="zh-TW" w:eastAsia="zh-TW" w:bidi="zh-TW"/>
    </w:rPr>
  </w:style>
  <w:style w:type="paragraph" w:customStyle="1" w:styleId="20">
    <w:name w:val="Heading #3|1"/>
    <w:basedOn w:val="1"/>
    <w:link w:val="19"/>
    <w:uiPriority w:val="0"/>
    <w:pPr>
      <w:spacing w:after="280" w:line="583" w:lineRule="exact"/>
      <w:jc w:val="center"/>
      <w:outlineLvl w:val="2"/>
    </w:pPr>
    <w:rPr>
      <w:rFonts w:ascii="宋体" w:hAnsi="宋体" w:cs="宋体"/>
      <w:b/>
      <w:bCs/>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D3CD6-325F-4C69-BC21-E998B248C2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541</Words>
  <Characters>3090</Characters>
  <Lines>25</Lines>
  <Paragraphs>7</Paragraphs>
  <TotalTime>2</TotalTime>
  <ScaleCrop>false</ScaleCrop>
  <LinksUpToDate>false</LinksUpToDate>
  <CharactersWithSpaces>3624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2018-09-17T02:44:00Z</dcterms:created>
  <dc:creator>Administrator</dc:creator>
  <cp:lastModifiedBy>花枝乱颤的奔跑</cp:lastModifiedBy>
  <cp:lastPrinted>2018-09-17T02:47:00Z</cp:lastPrinted>
  <dcterms:modified xsi:type="dcterms:W3CDTF">2022-06-14T03:13:08Z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8614382B5812468A90D8086DA7A2416A</vt:lpwstr>
  </property>
</Properties>
</file>