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附件１</w:t>
      </w:r>
    </w:p>
    <w:p>
      <w:pPr>
        <w:suppressAutoHyphens/>
        <w:jc w:val="center"/>
        <w:rPr>
          <w:rFonts w:ascii="宋体" w:hAnsi="宋体" w:eastAsia="宋体" w:cs="Times New Roman"/>
          <w:sz w:val="36"/>
          <w:szCs w:val="36"/>
        </w:rPr>
      </w:pPr>
    </w:p>
    <w:p>
      <w:pPr>
        <w:suppressAutoHyphens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ascii="宋体" w:hAnsi="宋体" w:eastAsia="宋体" w:cs="Times New Roman"/>
          <w:b/>
          <w:sz w:val="44"/>
          <w:szCs w:val="44"/>
        </w:rPr>
        <w:t>202</w:t>
      </w:r>
      <w:r>
        <w:rPr>
          <w:rFonts w:ascii="宋体" w:hAnsi="宋体" w:eastAsia="宋体" w:cs="Times New Roman"/>
          <w:b/>
          <w:sz w:val="44"/>
          <w:szCs w:val="44"/>
          <w:lang w:val="en"/>
        </w:rPr>
        <w:t>2</w:t>
      </w:r>
      <w:r>
        <w:rPr>
          <w:rFonts w:hint="eastAsia" w:ascii="宋体" w:hAnsi="宋体" w:eastAsia="宋体" w:cs="Times New Roman"/>
          <w:b/>
          <w:sz w:val="44"/>
          <w:szCs w:val="44"/>
        </w:rPr>
        <w:t>年度吉林省职业教育与成人教育</w:t>
      </w:r>
    </w:p>
    <w:p>
      <w:pPr>
        <w:suppressAutoHyphens/>
        <w:jc w:val="center"/>
        <w:rPr>
          <w:rFonts w:ascii="宋体" w:hAnsi="宋体" w:eastAsia="宋体" w:cs="Times New Roman"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教学改革研究课题指南</w:t>
      </w:r>
    </w:p>
    <w:p>
      <w:pPr>
        <w:widowControl/>
        <w:shd w:val="clear" w:color="000000" w:fill="FFFFFF"/>
        <w:suppressAutoHyphens/>
        <w:spacing w:line="360" w:lineRule="auto"/>
        <w:rPr>
          <w:rFonts w:ascii="仿宋_GB2312" w:hAnsi="宋体" w:eastAsia="仿宋_GB2312" w:cs="Times New Roman"/>
          <w:sz w:val="32"/>
          <w:szCs w:val="32"/>
        </w:rPr>
      </w:pPr>
    </w:p>
    <w:p>
      <w:pPr>
        <w:widowControl/>
        <w:shd w:val="clear" w:color="000000" w:fill="FFFFFF"/>
        <w:suppressAutoHyphens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指南作为课题申报的主要参考选题范围。选题指南为主持人及课题组在申报课题时提供选题方向和研究范围，题目尽量不要直接采用，申报者应结合自身研究的主旨思想自行设计课题名称和研究内容。选题要着眼解决实际问题、体现创新性。课题名称应严谨、规范、简明。</w:t>
      </w:r>
    </w:p>
    <w:p>
      <w:pPr>
        <w:widowControl/>
        <w:shd w:val="clear" w:color="000000" w:fill="FFFFFF"/>
        <w:suppressAutoHyphens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1.习近平新时代中国特色社会主义思想进校园、进课堂研究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习近平职业教育重要指示批示精神研究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职业院校加强党的全面领导研究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.黄炎培职业教育思想的实践研究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职业院校人才培养模式的实践研究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.职业院校立德树人实践研究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“知识+技能”的技能拔尖人才培养研究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ascii="仿宋" w:hAnsi="仿宋" w:eastAsia="仿宋" w:cs="仿宋"/>
          <w:sz w:val="32"/>
          <w:szCs w:val="32"/>
        </w:rPr>
        <w:t>.现代职业教育高质量发展研究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ascii="仿宋" w:hAnsi="仿宋" w:eastAsia="仿宋" w:cs="仿宋"/>
          <w:sz w:val="32"/>
          <w:szCs w:val="32"/>
        </w:rPr>
        <w:t>.增强职业教育适应性相关研究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0.职业教育本科层次办学研究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1.职业教育提质培优、增值赋能研究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职业院校</w:t>
      </w:r>
      <w:r>
        <w:rPr>
          <w:rFonts w:ascii="仿宋" w:hAnsi="仿宋" w:eastAsia="仿宋" w:cs="仿宋"/>
          <w:sz w:val="32"/>
          <w:szCs w:val="32"/>
        </w:rPr>
        <w:t>工匠精神培养与传承研究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职业教育集团化办学的支持政策与保障机制研究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职教集团转型升级的实践研究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5.校企命运共同体的构建与治理机制研究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6.现代职业院校治理能力建设与院校章程研究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7.学分银行制度下学生课外学习成果认证与转换研究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“学历证书+若干职业技能等级证书（1+X）”制度研究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职业教育产教融合、校企合作的实践研究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职业院校“双师型”教师队伍建设的探索与实践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校企合作“双师型”团队建设的研究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职业院校教师实践能力提升的校企合作策略研究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职业学院教师教育能力提高策略研究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促进职业院校教师专业发展的教学评价研究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职业院校班主任专业化成长途径创新研究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职业院校“双师双能型”教师成长发展规律研究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县级职教中心教师队伍专业素养整体提升创新研究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职业院校建设高素质“工匠之师”队伍实践研究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职业教育服务乡村振兴支持体系研究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新型职业农民培育实践研究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乡村振兴战略背景下乡村社区教育研究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农村转移劳动力就业技能培训机制创新研究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33.</w:t>
      </w:r>
      <w:r>
        <w:rPr>
          <w:rFonts w:hint="eastAsia" w:ascii="仿宋" w:hAnsi="仿宋" w:eastAsia="仿宋" w:cs="仿宋"/>
          <w:sz w:val="32"/>
          <w:szCs w:val="32"/>
        </w:rPr>
        <w:t>县域职业教育资源整合机制建设研究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职业院校创业教育模式与实践研究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创新创业教育课程体系构建研究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创新创业教育与专业教育融合研究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创新创业人才评价体系构建研究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技能大赛与教学改革实践研究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职业教育技能课程开发的实践研究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职校生通用职业能力评价指标体系建构及实施研究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职业院校课程评价模式探究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42.</w:t>
      </w:r>
      <w:r>
        <w:rPr>
          <w:rFonts w:hint="eastAsia" w:ascii="仿宋" w:hAnsi="仿宋" w:eastAsia="仿宋" w:cs="仿宋"/>
          <w:sz w:val="32"/>
          <w:szCs w:val="32"/>
        </w:rPr>
        <w:t>高职院校文化素质教育课程设置与评价研究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现代职教体系学段贯通培养教学质量保障机制研究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职业院校学生核心素养培养的理论与实践研究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高职扩招后的教育教学管理模式研究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高职扩招人才培养质量保障体系研究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职业教育弹性学习模式与制度研究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职业院校专业教学标准、课程标准研究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职业院校“三教”改革实践研究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职业院校专业（文化）课程教学改革实践研究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职业院校教学方法创新实践研究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52.</w:t>
      </w:r>
      <w:r>
        <w:rPr>
          <w:rFonts w:hint="eastAsia" w:ascii="仿宋" w:hAnsi="仿宋" w:eastAsia="仿宋" w:cs="仿宋"/>
          <w:sz w:val="32"/>
          <w:szCs w:val="32"/>
        </w:rPr>
        <w:t>职业教育高水平实训基地建设实践研究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职业院校学生社团建设实践研究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职业院校技术技能积累、传承和创新机制研究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职业教育招生考试制度改革研究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职业院校专业展馆建设的实践研究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教育信息技术与职业教育有效教学融合研究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数字化学习对职业教育教学效能影响的实证研究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微课程、空间教学、3G实景课堂、慕课、微课堂等教学模式应用研究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人工智能技术深度融入教学和管理全过程实践研究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线上线下有机结合的混合式教学设计与模式研究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职业教育课堂教学效果评价体系研究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3.职业教育优质教学资源开发与共建共享机制研究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国外优质职教课程资源的本土化开发应用研究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基于信息化的职业院校管理模式改革实践研究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职业院校数字校园建设的实践研究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职业院校优秀传统文化教育的实践研究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职业院校优秀传统文化与学科课程内容、专业课程内容融合的实践研究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69.职业院校</w:t>
      </w:r>
      <w:r>
        <w:rPr>
          <w:rFonts w:hint="eastAsia" w:ascii="仿宋" w:hAnsi="仿宋" w:eastAsia="仿宋" w:cs="仿宋"/>
          <w:sz w:val="32"/>
          <w:szCs w:val="32"/>
        </w:rPr>
        <w:t>教师德育意识和德育能力提升研究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职业院校德育模式的实践创新研究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心理健康教育教师培训制度与培训课程体系建设研究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基于家校合作的职业院校心理健康教育创新研究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3.职业院校课程思政与专业教学融合的路径研究与实践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成人（继续）教育人才培养模式创新实践研究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成人（继续）教育“三教”改革实践研究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企业大学建设实践研究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吉林省城乡社区老年教育发展研究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8.老年教育教材建设的实践研究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9.老年教育规范化与标准化研究</w:t>
      </w:r>
    </w:p>
    <w:p>
      <w:pPr>
        <w:suppressAutoHyphens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低龄老人再就业技能培养研究</w:t>
      </w:r>
    </w:p>
    <w:p>
      <w:pPr>
        <w:suppressAutoHyphens/>
        <w:rPr>
          <w:rFonts w:ascii="仿宋_GB2312" w:hAnsi="宋体" w:eastAsia="仿宋_GB2312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ZWQ2YzlkYzZmYjU0ZjQ1YjA4OWVhOWUzMDdiZDcifQ=="/>
  </w:docVars>
  <w:rsids>
    <w:rsidRoot w:val="00000000"/>
    <w:rsid w:val="7BAC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2022-05-14T08:48:48Z</dcterms:created>
  <dc:creator>张老师</dc:creator>
  <cp:lastModifiedBy>张一</cp:lastModifiedBy>
  <dcterms:modified xsi:type="dcterms:W3CDTF">2022-05-14T08:48:59Z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B82154A4BAAA48D5A770755AD253EED4</vt:lpwstr>
  </property>
</Properties>
</file>